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B163" w14:textId="77777777" w:rsidR="00E97EB5" w:rsidRDefault="00E97EB5" w:rsidP="00D50BAD">
      <w:pPr>
        <w:rPr>
          <w:rFonts w:ascii="Arial" w:hAnsi="Arial" w:cs="Arial"/>
        </w:rPr>
      </w:pPr>
    </w:p>
    <w:p w14:paraId="5A3F73D9" w14:textId="2C5AE78C" w:rsidR="001E57AF" w:rsidRPr="00E97EB5" w:rsidRDefault="001E57AF" w:rsidP="00D50BAD">
      <w:pPr>
        <w:rPr>
          <w:rFonts w:ascii="Arial" w:hAnsi="Arial" w:cs="Arial"/>
        </w:rPr>
      </w:pPr>
      <w:r w:rsidRPr="00E97EB5">
        <w:rPr>
          <w:rFonts w:ascii="Arial" w:hAnsi="Arial" w:cs="Arial"/>
        </w:rPr>
        <w:t>PRESS RELEASE FROM CUSHMAN &amp; WAKEFIELD | BROLL</w:t>
      </w:r>
    </w:p>
    <w:p w14:paraId="4B19049D" w14:textId="11D20A69" w:rsidR="001E57AF" w:rsidRPr="00377C6C" w:rsidRDefault="00377C6C" w:rsidP="00E97EB5">
      <w:pPr>
        <w:jc w:val="right"/>
        <w:rPr>
          <w:rFonts w:ascii="Arial" w:hAnsi="Arial" w:cs="Arial"/>
        </w:rPr>
      </w:pPr>
      <w:r w:rsidRPr="00377C6C">
        <w:rPr>
          <w:rFonts w:ascii="Arial" w:hAnsi="Arial" w:cs="Arial"/>
        </w:rPr>
        <w:t>2</w:t>
      </w:r>
      <w:r w:rsidR="00A35B15">
        <w:rPr>
          <w:rFonts w:ascii="Arial" w:hAnsi="Arial" w:cs="Arial"/>
        </w:rPr>
        <w:t>1</w:t>
      </w:r>
      <w:r w:rsidR="001E57AF" w:rsidRPr="00377C6C">
        <w:rPr>
          <w:rFonts w:ascii="Arial" w:hAnsi="Arial" w:cs="Arial"/>
        </w:rPr>
        <w:t xml:space="preserve"> July 2026 </w:t>
      </w:r>
    </w:p>
    <w:p w14:paraId="20EF2C75" w14:textId="6B529588" w:rsidR="00D50BAD" w:rsidRPr="00E97EB5" w:rsidRDefault="00D50BAD" w:rsidP="001E57AF">
      <w:pPr>
        <w:jc w:val="center"/>
        <w:rPr>
          <w:rFonts w:ascii="Arial" w:hAnsi="Arial" w:cs="Arial"/>
          <w:b/>
          <w:bCs/>
          <w:sz w:val="32"/>
          <w:szCs w:val="32"/>
        </w:rPr>
      </w:pPr>
      <w:r w:rsidRPr="00E97EB5">
        <w:rPr>
          <w:rFonts w:ascii="Arial" w:hAnsi="Arial" w:cs="Arial"/>
          <w:b/>
          <w:bCs/>
          <w:sz w:val="32"/>
          <w:szCs w:val="32"/>
        </w:rPr>
        <w:t>Cape industrial market enters new phase as speculative development accelerates</w:t>
      </w:r>
    </w:p>
    <w:p w14:paraId="181FC35E" w14:textId="28B5CE37" w:rsidR="006D1140" w:rsidRPr="00E97EB5" w:rsidRDefault="00FE7643" w:rsidP="001E57AF">
      <w:pPr>
        <w:jc w:val="center"/>
        <w:rPr>
          <w:rFonts w:ascii="Arial" w:hAnsi="Arial" w:cs="Arial"/>
          <w:i/>
          <w:iCs/>
          <w:sz w:val="26"/>
          <w:szCs w:val="26"/>
        </w:rPr>
      </w:pPr>
      <w:r w:rsidRPr="00E97EB5">
        <w:rPr>
          <w:rFonts w:ascii="Arial" w:hAnsi="Arial" w:cs="Arial"/>
          <w:i/>
          <w:iCs/>
          <w:sz w:val="26"/>
          <w:szCs w:val="26"/>
        </w:rPr>
        <w:t>Cushman &amp; Wakefield | BROLL says sustained demand, strong rental growth and constrained supply are reshaping the development equation in the Cape Metropole.</w:t>
      </w:r>
    </w:p>
    <w:p w14:paraId="096B3A86" w14:textId="754AD0AA" w:rsidR="0061509C" w:rsidRPr="00E97EB5" w:rsidRDefault="0061509C" w:rsidP="0061509C">
      <w:pPr>
        <w:spacing w:before="100" w:beforeAutospacing="1" w:after="100" w:afterAutospacing="1" w:line="240" w:lineRule="auto"/>
        <w:rPr>
          <w:rFonts w:ascii="Arial" w:eastAsia="Times New Roman" w:hAnsi="Arial" w:cs="Arial"/>
          <w:kern w:val="0"/>
          <w:sz w:val="24"/>
          <w:szCs w:val="24"/>
          <w:lang w:eastAsia="en-GB"/>
          <w14:ligatures w14:val="none"/>
        </w:rPr>
      </w:pPr>
      <w:r w:rsidRPr="00E97EB5">
        <w:rPr>
          <w:rFonts w:ascii="Arial" w:eastAsia="Times New Roman" w:hAnsi="Arial" w:cs="Arial"/>
          <w:kern w:val="0"/>
          <w:sz w:val="24"/>
          <w:szCs w:val="24"/>
          <w:lang w:eastAsia="en-GB"/>
          <w14:ligatures w14:val="none"/>
        </w:rPr>
        <w:t>The</w:t>
      </w:r>
      <w:r w:rsidR="00E97EB5">
        <w:rPr>
          <w:rFonts w:ascii="Arial" w:eastAsia="Times New Roman" w:hAnsi="Arial" w:cs="Arial"/>
          <w:kern w:val="0"/>
          <w:sz w:val="24"/>
          <w:szCs w:val="24"/>
          <w:lang w:eastAsia="en-GB"/>
          <w14:ligatures w14:val="none"/>
        </w:rPr>
        <w:t xml:space="preserve"> </w:t>
      </w:r>
      <w:r w:rsidRPr="00E97EB5">
        <w:rPr>
          <w:rFonts w:ascii="Arial" w:eastAsia="Times New Roman" w:hAnsi="Arial" w:cs="Arial"/>
          <w:kern w:val="0"/>
          <w:sz w:val="24"/>
          <w:szCs w:val="24"/>
          <w:lang w:eastAsia="en-GB"/>
          <w14:ligatures w14:val="none"/>
        </w:rPr>
        <w:t>industrial property market in the Cape Metropole has entered a new phase. After decades of relatively constrained speculative development, developers are increasingly prepared to build industrial facilities without secured tenants - a significant shift that reflects growing confidence in one of South Africa's strongest-performing commercial property sectors.</w:t>
      </w:r>
    </w:p>
    <w:p w14:paraId="71B0E431" w14:textId="5EDA3C5E" w:rsidR="0061509C" w:rsidRPr="00E97EB5" w:rsidRDefault="0061509C" w:rsidP="0061509C">
      <w:pPr>
        <w:spacing w:before="100" w:beforeAutospacing="1" w:after="100" w:afterAutospacing="1" w:line="240" w:lineRule="auto"/>
        <w:rPr>
          <w:rFonts w:ascii="Arial" w:eastAsia="Times New Roman" w:hAnsi="Arial" w:cs="Arial"/>
          <w:kern w:val="0"/>
          <w:sz w:val="24"/>
          <w:szCs w:val="24"/>
          <w:lang w:eastAsia="en-GB"/>
          <w14:ligatures w14:val="none"/>
        </w:rPr>
      </w:pPr>
      <w:r w:rsidRPr="00E97EB5">
        <w:rPr>
          <w:rFonts w:ascii="Arial" w:eastAsia="Times New Roman" w:hAnsi="Arial" w:cs="Arial"/>
          <w:kern w:val="0"/>
          <w:sz w:val="24"/>
          <w:szCs w:val="24"/>
          <w:lang w:eastAsia="en-GB"/>
          <w14:ligatures w14:val="none"/>
        </w:rPr>
        <w:t>This marks a notable departure from how the metropoles’s market has traditionally operated. For years, speculative industrial development remained limited as developers sought to minimise risk by securing tenants before commencing with the development. Today, however, sustained occupier demand, strong rental growth and a shortage of well-located industrial space have fundamentally changed that equation. Developers are increasingly willing to invest ahead of confirmed demand.</w:t>
      </w:r>
    </w:p>
    <w:p w14:paraId="2A2F30E0" w14:textId="77777777" w:rsidR="0061509C" w:rsidRPr="00E97EB5" w:rsidRDefault="0061509C" w:rsidP="0061509C">
      <w:pPr>
        <w:spacing w:before="100" w:beforeAutospacing="1" w:after="100" w:afterAutospacing="1" w:line="240" w:lineRule="auto"/>
        <w:rPr>
          <w:rFonts w:ascii="Arial" w:eastAsia="Times New Roman" w:hAnsi="Arial" w:cs="Arial"/>
          <w:kern w:val="0"/>
          <w:sz w:val="24"/>
          <w:szCs w:val="24"/>
          <w:lang w:eastAsia="en-GB"/>
          <w14:ligatures w14:val="none"/>
        </w:rPr>
      </w:pPr>
      <w:r w:rsidRPr="00E97EB5">
        <w:rPr>
          <w:rFonts w:ascii="Arial" w:eastAsia="Times New Roman" w:hAnsi="Arial" w:cs="Arial"/>
          <w:b/>
          <w:bCs/>
          <w:kern w:val="0"/>
          <w:sz w:val="24"/>
          <w:szCs w:val="24"/>
          <w:lang w:eastAsia="en-GB"/>
          <w14:ligatures w14:val="none"/>
        </w:rPr>
        <w:t>"That risk appetite has shifted,"</w:t>
      </w:r>
      <w:r w:rsidRPr="00E97EB5">
        <w:rPr>
          <w:rFonts w:ascii="Arial" w:eastAsia="Times New Roman" w:hAnsi="Arial" w:cs="Arial"/>
          <w:kern w:val="0"/>
          <w:sz w:val="24"/>
          <w:szCs w:val="24"/>
          <w:lang w:eastAsia="en-GB"/>
          <w14:ligatures w14:val="none"/>
        </w:rPr>
        <w:t xml:space="preserve"> says Shane Howe, Head of Industrial Broking, Western Cape at Cushman &amp; Wakefield | BROLL.</w:t>
      </w:r>
    </w:p>
    <w:p w14:paraId="6F72CBA0" w14:textId="523406E3" w:rsidR="0061509C" w:rsidRPr="00E97EB5" w:rsidRDefault="0061509C" w:rsidP="0061509C">
      <w:pPr>
        <w:spacing w:before="100" w:beforeAutospacing="1" w:after="100" w:afterAutospacing="1" w:line="240" w:lineRule="auto"/>
        <w:rPr>
          <w:rFonts w:ascii="Arial" w:eastAsia="Times New Roman" w:hAnsi="Arial" w:cs="Arial"/>
          <w:kern w:val="0"/>
          <w:sz w:val="24"/>
          <w:szCs w:val="24"/>
          <w:lang w:eastAsia="en-GB"/>
          <w14:ligatures w14:val="none"/>
        </w:rPr>
      </w:pPr>
      <w:r w:rsidRPr="00E97EB5">
        <w:rPr>
          <w:rFonts w:ascii="Arial" w:eastAsia="Times New Roman" w:hAnsi="Arial" w:cs="Arial"/>
          <w:i/>
          <w:iCs/>
          <w:kern w:val="0"/>
          <w:sz w:val="24"/>
          <w:szCs w:val="24"/>
          <w:lang w:eastAsia="en-GB"/>
          <w14:ligatures w14:val="none"/>
        </w:rPr>
        <w:t>"For many years, industrial development in the Cape was largely driven by specific occupier requirements. Developers would typically secure a tenant before committing to the development, or owner-occupiers would develop facilities for their own operational needs. Outside of a handful of established market leaders, few developers were prepared to build without a lease in place.</w:t>
      </w:r>
    </w:p>
    <w:p w14:paraId="21FAB98E" w14:textId="155601E2" w:rsidR="0061509C" w:rsidRPr="00E97EB5" w:rsidRDefault="009504DF" w:rsidP="0061509C">
      <w:pPr>
        <w:spacing w:before="100" w:beforeAutospacing="1" w:after="100" w:afterAutospacing="1" w:line="240" w:lineRule="auto"/>
        <w:rPr>
          <w:rFonts w:ascii="Arial" w:eastAsia="Times New Roman" w:hAnsi="Arial" w:cs="Arial"/>
          <w:kern w:val="0"/>
          <w:sz w:val="24"/>
          <w:szCs w:val="24"/>
          <w:lang w:eastAsia="en-GB"/>
          <w14:ligatures w14:val="none"/>
        </w:rPr>
      </w:pPr>
      <w:r w:rsidRPr="00E97EB5">
        <w:rPr>
          <w:rFonts w:ascii="Arial" w:eastAsia="Times New Roman" w:hAnsi="Arial" w:cs="Arial"/>
          <w:i/>
          <w:iCs/>
          <w:kern w:val="0"/>
          <w:sz w:val="24"/>
          <w:szCs w:val="24"/>
          <w:lang w:eastAsia="en-GB"/>
          <w14:ligatures w14:val="none"/>
        </w:rPr>
        <w:t>At present, developers are increasingly committing capital and commencing construction on the expectation that the market will absorb the space. Given the holding costs associated with vacant industrial buildings, that's a significant vote of confidence in the underlying strength of the Cape industrial market.</w:t>
      </w:r>
    </w:p>
    <w:p w14:paraId="2AAD3CCD" w14:textId="62087EBF" w:rsidR="0061509C" w:rsidRPr="00E97EB5" w:rsidRDefault="0061509C" w:rsidP="0061509C">
      <w:pPr>
        <w:spacing w:before="100" w:beforeAutospacing="1" w:after="100" w:afterAutospacing="1" w:line="240" w:lineRule="auto"/>
        <w:rPr>
          <w:rFonts w:ascii="Arial" w:eastAsia="Times New Roman" w:hAnsi="Arial" w:cs="Arial"/>
          <w:kern w:val="0"/>
          <w:sz w:val="24"/>
          <w:szCs w:val="24"/>
          <w:lang w:eastAsia="en-GB"/>
          <w14:ligatures w14:val="none"/>
        </w:rPr>
      </w:pPr>
      <w:r w:rsidRPr="00E97EB5">
        <w:rPr>
          <w:rFonts w:ascii="Arial" w:eastAsia="Times New Roman" w:hAnsi="Arial" w:cs="Arial"/>
          <w:i/>
          <w:iCs/>
          <w:kern w:val="0"/>
          <w:sz w:val="24"/>
          <w:szCs w:val="24"/>
          <w:lang w:eastAsia="en-GB"/>
          <w14:ligatures w14:val="none"/>
        </w:rPr>
        <w:t>This isn't simply a case of more buildings going up. The real shift is that developers are backing the underlying fundamentals of the market and its ability to absorb new space. Sustained occupier demand, several years of strong rental growth and a shortage of well-located industrial land have fundamentally reshaped the development landscape."</w:t>
      </w:r>
    </w:p>
    <w:p w14:paraId="0A9EAA81" w14:textId="77777777" w:rsidR="00D50BAD" w:rsidRPr="00E97EB5" w:rsidRDefault="00D50BAD" w:rsidP="00D50BAD">
      <w:pPr>
        <w:rPr>
          <w:rFonts w:ascii="Arial" w:hAnsi="Arial" w:cs="Arial"/>
          <w:b/>
          <w:bCs/>
          <w:sz w:val="24"/>
          <w:szCs w:val="24"/>
        </w:rPr>
      </w:pPr>
      <w:r w:rsidRPr="00E97EB5">
        <w:rPr>
          <w:rFonts w:ascii="Arial" w:hAnsi="Arial" w:cs="Arial"/>
          <w:b/>
          <w:bCs/>
          <w:sz w:val="24"/>
          <w:szCs w:val="24"/>
        </w:rPr>
        <w:lastRenderedPageBreak/>
        <w:t>Rental growth changes the equation</w:t>
      </w:r>
    </w:p>
    <w:p w14:paraId="03FFC852" w14:textId="77777777" w:rsidR="00D50BAD" w:rsidRPr="00E97EB5" w:rsidRDefault="00D50BAD" w:rsidP="00D50BAD">
      <w:pPr>
        <w:rPr>
          <w:rFonts w:ascii="Arial" w:hAnsi="Arial" w:cs="Arial"/>
          <w:sz w:val="24"/>
          <w:szCs w:val="24"/>
        </w:rPr>
      </w:pPr>
      <w:r w:rsidRPr="00E97EB5">
        <w:rPr>
          <w:rFonts w:ascii="Arial" w:hAnsi="Arial" w:cs="Arial"/>
          <w:sz w:val="24"/>
          <w:szCs w:val="24"/>
        </w:rPr>
        <w:t>The shift follows several years of strong industrial property performance. Demand for warehousing and logistics space accelerated following the onset of the Covid-19 pandemic, supported by changing supply chains and the growth of e-commerce. At the same time, years of limited speculative development left the Cape market with constrained supply in many established industrial nodes.</w:t>
      </w:r>
    </w:p>
    <w:p w14:paraId="06B4A0C6" w14:textId="6D6C1FEB" w:rsidR="00D50BAD" w:rsidRPr="00E97EB5" w:rsidRDefault="00D50BAD" w:rsidP="00D50BAD">
      <w:pPr>
        <w:rPr>
          <w:rFonts w:ascii="Arial" w:hAnsi="Arial" w:cs="Arial"/>
          <w:sz w:val="24"/>
          <w:szCs w:val="24"/>
        </w:rPr>
      </w:pPr>
      <w:r w:rsidRPr="00E97EB5">
        <w:rPr>
          <w:rFonts w:ascii="Arial" w:hAnsi="Arial" w:cs="Arial"/>
          <w:sz w:val="24"/>
          <w:szCs w:val="24"/>
        </w:rPr>
        <w:t>The impact is evident in rental growth. Cushman &amp; Wakefield | BROLL’s analysis of asking rentals at leading A-grade industrial parks in the Cape Metropole shows increases of as much as 58% since the second quarter of 2021.</w:t>
      </w:r>
    </w:p>
    <w:p w14:paraId="5A887B22" w14:textId="7BC584A0" w:rsidR="00D50BAD" w:rsidRPr="00E97EB5" w:rsidRDefault="00D50BAD" w:rsidP="00D50BAD">
      <w:pPr>
        <w:rPr>
          <w:rFonts w:ascii="Arial" w:hAnsi="Arial" w:cs="Arial"/>
          <w:sz w:val="24"/>
          <w:szCs w:val="24"/>
        </w:rPr>
      </w:pPr>
      <w:r w:rsidRPr="00E97EB5">
        <w:rPr>
          <w:rFonts w:ascii="Arial" w:hAnsi="Arial" w:cs="Arial"/>
          <w:sz w:val="24"/>
          <w:szCs w:val="24"/>
        </w:rPr>
        <w:t>“In some established developments, asking gross rentals that were around R60/m² five years ago are now in the region of R90/m² to R95/m²,” says Howe. “That movement gives a very clear indication of what has happened in the market over a relatively short period.” He adds that premium new logistics warehouses are now commanding net rentals of R105/m² to R115/m².</w:t>
      </w:r>
    </w:p>
    <w:p w14:paraId="40E8B1D3" w14:textId="77777777" w:rsidR="00D50BAD" w:rsidRPr="00E97EB5" w:rsidRDefault="00D50BAD" w:rsidP="00D50BAD">
      <w:pPr>
        <w:rPr>
          <w:rFonts w:ascii="Arial" w:hAnsi="Arial" w:cs="Arial"/>
          <w:sz w:val="24"/>
          <w:szCs w:val="24"/>
        </w:rPr>
      </w:pPr>
      <w:r w:rsidRPr="00E97EB5">
        <w:rPr>
          <w:rFonts w:ascii="Arial" w:hAnsi="Arial" w:cs="Arial"/>
          <w:sz w:val="24"/>
          <w:szCs w:val="24"/>
        </w:rPr>
        <w:t>These conditions have changed the development equation.</w:t>
      </w:r>
    </w:p>
    <w:p w14:paraId="39FAC9C3" w14:textId="227E3790" w:rsidR="00D50BAD" w:rsidRPr="00E97EB5" w:rsidRDefault="00D50BAD" w:rsidP="00D50BAD">
      <w:pPr>
        <w:rPr>
          <w:rFonts w:ascii="Arial" w:hAnsi="Arial" w:cs="Arial"/>
          <w:sz w:val="24"/>
          <w:szCs w:val="24"/>
        </w:rPr>
      </w:pPr>
      <w:r w:rsidRPr="00E97EB5">
        <w:rPr>
          <w:rFonts w:ascii="Arial" w:hAnsi="Arial" w:cs="Arial"/>
          <w:sz w:val="24"/>
          <w:szCs w:val="24"/>
        </w:rPr>
        <w:t>Howe explains. “The important change is that developers are increasingly willing to build without first securing a tenant. They are effectively backing their understanding of the market and its ability to absorb new space</w:t>
      </w:r>
      <w:r w:rsidR="00E97EB5" w:rsidRPr="00E97EB5">
        <w:rPr>
          <w:rFonts w:ascii="Arial" w:hAnsi="Arial" w:cs="Arial"/>
          <w:sz w:val="24"/>
          <w:szCs w:val="24"/>
        </w:rPr>
        <w:t>,</w:t>
      </w:r>
      <w:r w:rsidRPr="00E97EB5">
        <w:rPr>
          <w:rFonts w:ascii="Arial" w:hAnsi="Arial" w:cs="Arial"/>
          <w:sz w:val="24"/>
          <w:szCs w:val="24"/>
        </w:rPr>
        <w:t>”</w:t>
      </w:r>
      <w:r w:rsidR="00E97EB5" w:rsidRPr="00E97EB5">
        <w:rPr>
          <w:rFonts w:ascii="Arial" w:hAnsi="Arial" w:cs="Arial"/>
          <w:sz w:val="24"/>
          <w:szCs w:val="24"/>
        </w:rPr>
        <w:t xml:space="preserve"> Howe explains.</w:t>
      </w:r>
    </w:p>
    <w:p w14:paraId="651B1D12" w14:textId="77777777" w:rsidR="00D50BAD" w:rsidRPr="00E97EB5" w:rsidRDefault="00D50BAD" w:rsidP="00D50BAD">
      <w:pPr>
        <w:rPr>
          <w:rFonts w:ascii="Arial" w:hAnsi="Arial" w:cs="Arial"/>
          <w:b/>
          <w:bCs/>
          <w:sz w:val="24"/>
          <w:szCs w:val="24"/>
        </w:rPr>
      </w:pPr>
      <w:r w:rsidRPr="00E97EB5">
        <w:rPr>
          <w:rFonts w:ascii="Arial" w:hAnsi="Arial" w:cs="Arial"/>
          <w:b/>
          <w:bCs/>
          <w:sz w:val="24"/>
          <w:szCs w:val="24"/>
        </w:rPr>
        <w:t>Building for a broader market</w:t>
      </w:r>
    </w:p>
    <w:p w14:paraId="5C373692" w14:textId="77777777" w:rsidR="00D50BAD" w:rsidRPr="00E97EB5" w:rsidRDefault="00D50BAD" w:rsidP="00D50BAD">
      <w:pPr>
        <w:rPr>
          <w:rFonts w:ascii="Arial" w:hAnsi="Arial" w:cs="Arial"/>
          <w:sz w:val="24"/>
          <w:szCs w:val="24"/>
        </w:rPr>
      </w:pPr>
      <w:r w:rsidRPr="00E97EB5">
        <w:rPr>
          <w:rFonts w:ascii="Arial" w:hAnsi="Arial" w:cs="Arial"/>
          <w:sz w:val="24"/>
          <w:szCs w:val="24"/>
        </w:rPr>
        <w:t>Speculative development is taking place across a wide range of unit sizes, from smaller facilities of around 500m² to buildings of approximately 5 000m². Larger schemes may also be designed to allow adjacent units to be combined where required.</w:t>
      </w:r>
    </w:p>
    <w:p w14:paraId="4D35629E" w14:textId="5F264BB4" w:rsidR="00D50BAD" w:rsidRPr="00E97EB5" w:rsidRDefault="00D50BAD" w:rsidP="00D50BAD">
      <w:pPr>
        <w:rPr>
          <w:rFonts w:ascii="Arial" w:hAnsi="Arial" w:cs="Arial"/>
          <w:sz w:val="24"/>
          <w:szCs w:val="24"/>
        </w:rPr>
      </w:pPr>
      <w:r w:rsidRPr="00E97EB5">
        <w:rPr>
          <w:rFonts w:ascii="Arial" w:hAnsi="Arial" w:cs="Arial"/>
          <w:sz w:val="24"/>
          <w:szCs w:val="24"/>
        </w:rPr>
        <w:t xml:space="preserve">“The principle behind a speculative build is that it isn’t </w:t>
      </w:r>
      <w:r w:rsidR="00766B5A" w:rsidRPr="00E97EB5">
        <w:rPr>
          <w:rFonts w:ascii="Arial" w:hAnsi="Arial" w:cs="Arial"/>
          <w:sz w:val="24"/>
          <w:szCs w:val="24"/>
        </w:rPr>
        <w:t>bespoke to a tenant</w:t>
      </w:r>
      <w:r w:rsidRPr="00E97EB5">
        <w:rPr>
          <w:rFonts w:ascii="Arial" w:hAnsi="Arial" w:cs="Arial"/>
          <w:sz w:val="24"/>
          <w:szCs w:val="24"/>
        </w:rPr>
        <w:t>, so versatility is extremely important,” says Howe. “Developers are designing buildings to accommodate as broad a range of occupiers as possible. That said, the fundamental focus remains on the storage and distribution sector.”</w:t>
      </w:r>
    </w:p>
    <w:p w14:paraId="1415309A" w14:textId="77777777" w:rsidR="00D50BAD" w:rsidRPr="00E97EB5" w:rsidRDefault="00D50BAD" w:rsidP="00D50BAD">
      <w:pPr>
        <w:rPr>
          <w:rFonts w:ascii="Arial" w:hAnsi="Arial" w:cs="Arial"/>
          <w:sz w:val="24"/>
          <w:szCs w:val="24"/>
        </w:rPr>
      </w:pPr>
      <w:r w:rsidRPr="00E97EB5">
        <w:rPr>
          <w:rFonts w:ascii="Arial" w:hAnsi="Arial" w:cs="Arial"/>
          <w:sz w:val="24"/>
          <w:szCs w:val="24"/>
        </w:rPr>
        <w:t>While approved development plans and planning rights naturally limit wholesale changes, there may be scope to adapt office components, loading doors and internal configurations or combine adjoining units for a larger occupier.</w:t>
      </w:r>
    </w:p>
    <w:p w14:paraId="0BF63853" w14:textId="77777777" w:rsidR="00D50BAD" w:rsidRPr="00E97EB5" w:rsidRDefault="00D50BAD" w:rsidP="00D50BAD">
      <w:pPr>
        <w:rPr>
          <w:rFonts w:ascii="Arial" w:hAnsi="Arial" w:cs="Arial"/>
          <w:sz w:val="24"/>
          <w:szCs w:val="24"/>
        </w:rPr>
      </w:pPr>
      <w:r w:rsidRPr="00E97EB5">
        <w:rPr>
          <w:rFonts w:ascii="Arial" w:hAnsi="Arial" w:cs="Arial"/>
          <w:sz w:val="24"/>
          <w:szCs w:val="24"/>
        </w:rPr>
        <w:t>Highly specialised industrial users will continue to require bespoke facilities designed around specific process flows, racking, loading or operational requirements. For much of the broader warehousing, logistics and industrial market, however, Howe says well-designed speculative stock can offer the flexibility required.</w:t>
      </w:r>
    </w:p>
    <w:p w14:paraId="7FDB7A5A" w14:textId="77777777" w:rsidR="00D50BAD" w:rsidRPr="00E97EB5" w:rsidRDefault="00D50BAD" w:rsidP="00D50BAD">
      <w:pPr>
        <w:rPr>
          <w:rFonts w:ascii="Arial" w:hAnsi="Arial" w:cs="Arial"/>
          <w:b/>
          <w:bCs/>
          <w:sz w:val="24"/>
          <w:szCs w:val="24"/>
        </w:rPr>
      </w:pPr>
      <w:r w:rsidRPr="00E97EB5">
        <w:rPr>
          <w:rFonts w:ascii="Arial" w:hAnsi="Arial" w:cs="Arial"/>
          <w:b/>
          <w:bCs/>
          <w:sz w:val="24"/>
          <w:szCs w:val="24"/>
        </w:rPr>
        <w:t>A finite supply of development opportunities</w:t>
      </w:r>
    </w:p>
    <w:p w14:paraId="21F1C35C" w14:textId="77777777" w:rsidR="00D50BAD" w:rsidRPr="00E97EB5" w:rsidRDefault="00D50BAD" w:rsidP="00D50BAD">
      <w:pPr>
        <w:rPr>
          <w:rFonts w:ascii="Arial" w:hAnsi="Arial" w:cs="Arial"/>
          <w:sz w:val="24"/>
          <w:szCs w:val="24"/>
        </w:rPr>
      </w:pPr>
      <w:r w:rsidRPr="00E97EB5">
        <w:rPr>
          <w:rFonts w:ascii="Arial" w:hAnsi="Arial" w:cs="Arial"/>
          <w:sz w:val="24"/>
          <w:szCs w:val="24"/>
        </w:rPr>
        <w:t>Activity is spread across the Cape Metropole, with development following the availability of suitably zoned land at viable pricing, proximity to major transport routes and access to the broader metropolitan market.</w:t>
      </w:r>
    </w:p>
    <w:p w14:paraId="52E07338" w14:textId="2A34C916" w:rsidR="00D50BAD" w:rsidRPr="00E97EB5" w:rsidRDefault="00D50BAD" w:rsidP="00D50BAD">
      <w:pPr>
        <w:rPr>
          <w:rFonts w:ascii="Arial" w:hAnsi="Arial" w:cs="Arial"/>
          <w:sz w:val="24"/>
          <w:szCs w:val="24"/>
        </w:rPr>
      </w:pPr>
      <w:r w:rsidRPr="00E97EB5">
        <w:rPr>
          <w:rFonts w:ascii="Arial" w:hAnsi="Arial" w:cs="Arial"/>
          <w:sz w:val="24"/>
          <w:szCs w:val="24"/>
        </w:rPr>
        <w:lastRenderedPageBreak/>
        <w:t>However, well-located development land remains constrained. Much of the larger developable industrial land within the Metropole has already been secured, leaving few viable opportunities or sites further from established nodes.</w:t>
      </w:r>
    </w:p>
    <w:p w14:paraId="07B0FA2C" w14:textId="77777777" w:rsidR="00D50BAD" w:rsidRPr="00E97EB5" w:rsidRDefault="00D50BAD" w:rsidP="00D50BAD">
      <w:pPr>
        <w:rPr>
          <w:rFonts w:ascii="Arial" w:hAnsi="Arial" w:cs="Arial"/>
          <w:sz w:val="24"/>
          <w:szCs w:val="24"/>
        </w:rPr>
      </w:pPr>
      <w:r w:rsidRPr="00E97EB5">
        <w:rPr>
          <w:rFonts w:ascii="Arial" w:hAnsi="Arial" w:cs="Arial"/>
          <w:sz w:val="24"/>
          <w:szCs w:val="24"/>
        </w:rPr>
        <w:t>Brownfields redevelopment has not necessarily provided an easy alternative.</w:t>
      </w:r>
    </w:p>
    <w:p w14:paraId="2B7A20C2" w14:textId="5F53C73F" w:rsidR="00D50BAD" w:rsidRPr="00E97EB5" w:rsidRDefault="00D50BAD" w:rsidP="00D50BAD">
      <w:pPr>
        <w:rPr>
          <w:rFonts w:ascii="Arial" w:hAnsi="Arial" w:cs="Arial"/>
          <w:sz w:val="24"/>
          <w:szCs w:val="24"/>
        </w:rPr>
      </w:pPr>
      <w:r w:rsidRPr="00E97EB5">
        <w:rPr>
          <w:rFonts w:ascii="Arial" w:hAnsi="Arial" w:cs="Arial"/>
          <w:sz w:val="24"/>
          <w:szCs w:val="24"/>
        </w:rPr>
        <w:t>“Rental levels have grown strongly, but acquisition and redevelopment costs still make wholesale brownfields redevelopment infeasible in many instances,” says Howe. “Older or functionally obsolete industrial stock that can be acquired and repurposed, are commanding prices that make complete redevelopment for warehousing use =difficult to justify.”</w:t>
      </w:r>
    </w:p>
    <w:p w14:paraId="074783DA" w14:textId="65239034" w:rsidR="00D50BAD" w:rsidRPr="00E97EB5" w:rsidRDefault="00D50BAD" w:rsidP="00D50BAD">
      <w:pPr>
        <w:rPr>
          <w:rFonts w:ascii="Arial" w:hAnsi="Arial" w:cs="Arial"/>
          <w:sz w:val="24"/>
          <w:szCs w:val="24"/>
        </w:rPr>
      </w:pPr>
      <w:r w:rsidRPr="00E97EB5">
        <w:rPr>
          <w:rFonts w:ascii="Arial" w:hAnsi="Arial" w:cs="Arial"/>
          <w:sz w:val="24"/>
          <w:szCs w:val="24"/>
        </w:rPr>
        <w:t>The result is a market where strong demand and rental growth are supporting new development, but the supply of viable development opportunities remains finite.</w:t>
      </w:r>
    </w:p>
    <w:p w14:paraId="1987C1F5" w14:textId="77777777" w:rsidR="000C1AB0" w:rsidRPr="00E97EB5" w:rsidRDefault="00131752">
      <w:pPr>
        <w:rPr>
          <w:rFonts w:ascii="Arial" w:hAnsi="Arial" w:cs="Arial"/>
          <w:b/>
          <w:bCs/>
          <w:sz w:val="24"/>
          <w:szCs w:val="24"/>
        </w:rPr>
      </w:pPr>
      <w:r w:rsidRPr="00E97EB5">
        <w:rPr>
          <w:rFonts w:ascii="Arial" w:hAnsi="Arial" w:cs="Arial"/>
          <w:b/>
          <w:bCs/>
          <w:sz w:val="24"/>
          <w:szCs w:val="24"/>
        </w:rPr>
        <w:t>Capital markets remain buoyant</w:t>
      </w:r>
    </w:p>
    <w:p w14:paraId="0828A1B5" w14:textId="5F36E263" w:rsidR="000C1AB0" w:rsidRPr="00E97EB5" w:rsidRDefault="00131752">
      <w:pPr>
        <w:rPr>
          <w:rFonts w:ascii="Arial" w:hAnsi="Arial" w:cs="Arial"/>
          <w:sz w:val="24"/>
          <w:szCs w:val="24"/>
          <w:lang w:val="en-GB"/>
        </w:rPr>
      </w:pPr>
      <w:r w:rsidRPr="00E97EB5">
        <w:rPr>
          <w:rFonts w:ascii="Arial" w:hAnsi="Arial" w:cs="Arial"/>
          <w:sz w:val="24"/>
          <w:szCs w:val="24"/>
        </w:rPr>
        <w:t xml:space="preserve">The strength of the occupier market is being mirrored in the capital markets, where investor appetite for well-located industrial assets remains robust. Sales of premium warehousing have achieved yields of between 8% and 9%, with a handful of assets trading hands at sub-8% levels, while older, good-quality warehousing is trading at yields of between 9% and 9.5%. Demand for these investment opportunities is being underpinned by the certainty of locked-in escalations and continued strong tenant demand for well-located warehousing, which has driven upward pressure on rentals. In this positive cycle, it makes sense for well capitalized developers and funds to progress developments on their land holdings on a speculative basis in order to accelerate their returns rather than wait for a typical RFP from the market and enter into a prolonged bidding and development period, which causes a cash drag on the land. </w:t>
      </w:r>
      <w:r w:rsidR="00E97EB5" w:rsidRPr="00E97EB5">
        <w:rPr>
          <w:rFonts w:ascii="Arial" w:hAnsi="Arial" w:cs="Arial"/>
          <w:sz w:val="24"/>
          <w:szCs w:val="24"/>
        </w:rPr>
        <w:t xml:space="preserve">For additional information on current investment opportunities, contact </w:t>
      </w:r>
      <w:r w:rsidR="00E97EB5" w:rsidRPr="00E97EB5">
        <w:rPr>
          <w:rFonts w:ascii="Arial" w:hAnsi="Arial" w:cs="Arial"/>
          <w:sz w:val="24"/>
          <w:szCs w:val="24"/>
          <w:lang w:val="en-GB"/>
        </w:rPr>
        <w:t xml:space="preserve">Sean Berowsky, Director of Capital Markets at Cushman &amp; Wakefield | BROLL on 082 810 8950/ </w:t>
      </w:r>
      <w:hyperlink r:id="rId6" w:history="1">
        <w:r w:rsidR="00E97EB5" w:rsidRPr="00E97EB5">
          <w:rPr>
            <w:rStyle w:val="Hyperlink"/>
            <w:rFonts w:ascii="Arial" w:hAnsi="Arial" w:cs="Arial"/>
            <w:sz w:val="24"/>
            <w:szCs w:val="24"/>
            <w:lang w:val="en-GB"/>
          </w:rPr>
          <w:t>sberowsky@broll.com</w:t>
        </w:r>
      </w:hyperlink>
      <w:r w:rsidR="00E97EB5" w:rsidRPr="00E97EB5">
        <w:rPr>
          <w:rFonts w:ascii="Arial" w:hAnsi="Arial" w:cs="Arial"/>
          <w:sz w:val="24"/>
          <w:szCs w:val="24"/>
          <w:lang w:val="en-GB"/>
        </w:rPr>
        <w:t xml:space="preserve"> </w:t>
      </w:r>
    </w:p>
    <w:p w14:paraId="5D99FFB6" w14:textId="77777777" w:rsidR="00D50BAD" w:rsidRPr="00E97EB5" w:rsidRDefault="00D50BAD" w:rsidP="00D50BAD">
      <w:pPr>
        <w:rPr>
          <w:rFonts w:ascii="Arial" w:hAnsi="Arial" w:cs="Arial"/>
          <w:b/>
          <w:bCs/>
          <w:sz w:val="24"/>
          <w:szCs w:val="24"/>
        </w:rPr>
      </w:pPr>
      <w:r w:rsidRPr="00E97EB5">
        <w:rPr>
          <w:rFonts w:ascii="Arial" w:hAnsi="Arial" w:cs="Arial"/>
          <w:b/>
          <w:bCs/>
          <w:sz w:val="24"/>
          <w:szCs w:val="24"/>
        </w:rPr>
        <w:t>Understanding the pipeline</w:t>
      </w:r>
    </w:p>
    <w:p w14:paraId="77F3C7D3" w14:textId="77777777" w:rsidR="00D50BAD" w:rsidRPr="00E97EB5" w:rsidRDefault="00D50BAD" w:rsidP="00D50BAD">
      <w:pPr>
        <w:rPr>
          <w:rFonts w:ascii="Arial" w:hAnsi="Arial" w:cs="Arial"/>
          <w:sz w:val="24"/>
          <w:szCs w:val="24"/>
        </w:rPr>
      </w:pPr>
      <w:r w:rsidRPr="00E97EB5">
        <w:rPr>
          <w:rFonts w:ascii="Arial" w:hAnsi="Arial" w:cs="Arial"/>
          <w:sz w:val="24"/>
          <w:szCs w:val="24"/>
        </w:rPr>
        <w:t>For industrial occupiers, the growth in speculative development is creating more choice, particularly for businesses seeking modern A-grade facilities without the lead times associated with a fully purpose-built development. It also makes detailed knowledge of the development pipeline increasingly important.</w:t>
      </w:r>
    </w:p>
    <w:p w14:paraId="5E45DA45" w14:textId="5B3321AA" w:rsidR="00D50BAD" w:rsidRPr="00E97EB5" w:rsidRDefault="00D50BAD" w:rsidP="00D50BAD">
      <w:pPr>
        <w:rPr>
          <w:rFonts w:ascii="Arial" w:hAnsi="Arial" w:cs="Arial"/>
          <w:sz w:val="24"/>
          <w:szCs w:val="24"/>
        </w:rPr>
      </w:pPr>
      <w:r w:rsidRPr="00E97EB5">
        <w:rPr>
          <w:rFonts w:ascii="Arial" w:hAnsi="Arial" w:cs="Arial"/>
          <w:sz w:val="24"/>
          <w:szCs w:val="24"/>
        </w:rPr>
        <w:t xml:space="preserve">“There is a substantial amount happening across the Cape industrial market, but the opportunities are not all the same,” says Howe. “Location, timing, unit configuration specification </w:t>
      </w:r>
      <w:r w:rsidRPr="00E97EB5">
        <w:rPr>
          <w:rFonts w:ascii="Arial" w:hAnsi="Arial" w:cs="Arial"/>
          <w:strike/>
          <w:sz w:val="24"/>
          <w:szCs w:val="24"/>
        </w:rPr>
        <w:t>also</w:t>
      </w:r>
      <w:r w:rsidRPr="00E97EB5">
        <w:rPr>
          <w:rFonts w:ascii="Arial" w:hAnsi="Arial" w:cs="Arial"/>
          <w:sz w:val="24"/>
          <w:szCs w:val="24"/>
        </w:rPr>
        <w:t xml:space="preserve"> and the degree of flexibility available are just some of the key factors that need to be considered in the property procurement process.”</w:t>
      </w:r>
    </w:p>
    <w:p w14:paraId="041967FB" w14:textId="74080BBB" w:rsidR="00C90937" w:rsidRPr="00E97EB5" w:rsidRDefault="00D50BAD" w:rsidP="00D50BAD">
      <w:pPr>
        <w:rPr>
          <w:rFonts w:ascii="Arial" w:hAnsi="Arial" w:cs="Arial"/>
          <w:sz w:val="24"/>
          <w:szCs w:val="24"/>
        </w:rPr>
      </w:pPr>
      <w:r w:rsidRPr="00E97EB5">
        <w:rPr>
          <w:rFonts w:ascii="Arial" w:hAnsi="Arial" w:cs="Arial"/>
          <w:sz w:val="24"/>
          <w:szCs w:val="24"/>
        </w:rPr>
        <w:t>“Developers are responding to the strength of the market, but suitable land remains constrained and demand continues to support rental growth,” he says. “For tenants, developers and owner-occupiers, understanding where the next opportunities are coming from is becoming increasingly important to procurement strategy</w:t>
      </w:r>
    </w:p>
    <w:p w14:paraId="5AE07BD7" w14:textId="475559C0" w:rsidR="003B0DC9" w:rsidRPr="00E97EB5" w:rsidRDefault="003B0DC9" w:rsidP="00D50BAD">
      <w:pPr>
        <w:rPr>
          <w:rFonts w:ascii="Arial" w:hAnsi="Arial" w:cs="Arial"/>
          <w:sz w:val="24"/>
          <w:szCs w:val="24"/>
        </w:rPr>
      </w:pPr>
      <w:r w:rsidRPr="00E97EB5">
        <w:rPr>
          <w:rFonts w:ascii="Arial" w:hAnsi="Arial" w:cs="Arial"/>
          <w:sz w:val="24"/>
          <w:szCs w:val="24"/>
        </w:rPr>
        <w:t xml:space="preserve">For a detailed report, or for more information on the opportunities in and around the industrial property ecosystem within the Cape Metropole, contact Shane Howe </w:t>
      </w:r>
      <w:r w:rsidR="00E97EB5" w:rsidRPr="00E97EB5">
        <w:rPr>
          <w:rFonts w:ascii="Arial" w:hAnsi="Arial" w:cs="Arial"/>
          <w:sz w:val="24"/>
          <w:szCs w:val="24"/>
        </w:rPr>
        <w:t xml:space="preserve">Head </w:t>
      </w:r>
      <w:r w:rsidR="00E97EB5" w:rsidRPr="00E97EB5">
        <w:rPr>
          <w:rFonts w:ascii="Arial" w:hAnsi="Arial" w:cs="Arial"/>
          <w:sz w:val="24"/>
          <w:szCs w:val="24"/>
        </w:rPr>
        <w:lastRenderedPageBreak/>
        <w:t xml:space="preserve">of Industrial Broking of Western Cape at Cushman &amp; Wakefield | BROLL </w:t>
      </w:r>
      <w:r w:rsidRPr="00E97EB5">
        <w:rPr>
          <w:rFonts w:ascii="Arial" w:hAnsi="Arial" w:cs="Arial"/>
          <w:sz w:val="24"/>
          <w:szCs w:val="24"/>
        </w:rPr>
        <w:t xml:space="preserve">on 072 261 1863 / </w:t>
      </w:r>
      <w:hyperlink r:id="rId7" w:history="1">
        <w:r w:rsidRPr="00E97EB5">
          <w:rPr>
            <w:rStyle w:val="Hyperlink"/>
            <w:rFonts w:ascii="Arial" w:hAnsi="Arial" w:cs="Arial"/>
            <w:sz w:val="24"/>
            <w:szCs w:val="24"/>
          </w:rPr>
          <w:t>showe@broll.com</w:t>
        </w:r>
      </w:hyperlink>
      <w:r w:rsidRPr="00E97EB5">
        <w:rPr>
          <w:rFonts w:ascii="Arial" w:hAnsi="Arial" w:cs="Arial"/>
          <w:sz w:val="24"/>
          <w:szCs w:val="24"/>
        </w:rPr>
        <w:t>.</w:t>
      </w:r>
    </w:p>
    <w:p w14:paraId="3EF9DC4D" w14:textId="539F5877" w:rsidR="001E57AF" w:rsidRPr="00E97EB5" w:rsidRDefault="001E57AF" w:rsidP="00E97EB5">
      <w:pPr>
        <w:jc w:val="center"/>
        <w:rPr>
          <w:rFonts w:ascii="Arial" w:hAnsi="Arial" w:cs="Arial"/>
          <w:sz w:val="24"/>
          <w:szCs w:val="24"/>
        </w:rPr>
      </w:pPr>
      <w:r w:rsidRPr="00E97EB5">
        <w:rPr>
          <w:rFonts w:ascii="Arial" w:hAnsi="Arial" w:cs="Arial"/>
          <w:sz w:val="24"/>
          <w:szCs w:val="24"/>
        </w:rPr>
        <w:t>…/ends</w:t>
      </w:r>
    </w:p>
    <w:p w14:paraId="626908CA" w14:textId="77777777" w:rsidR="00E97EB5" w:rsidRPr="00194EFC" w:rsidRDefault="00E97EB5" w:rsidP="00E97EB5">
      <w:pPr>
        <w:spacing w:after="0" w:line="240" w:lineRule="auto"/>
        <w:rPr>
          <w:rFonts w:ascii="Arial" w:eastAsia="Calibri" w:hAnsi="Arial" w:cs="Arial"/>
          <w:b/>
          <w:bCs/>
          <w:kern w:val="0"/>
        </w:rPr>
      </w:pPr>
      <w:r w:rsidRPr="00194EFC">
        <w:rPr>
          <w:rFonts w:ascii="Arial" w:eastAsia="Calibri" w:hAnsi="Arial" w:cs="Arial"/>
          <w:b/>
          <w:bCs/>
          <w:kern w:val="0"/>
        </w:rPr>
        <w:t>ABOUT CUSHMAN &amp; WAKEFIELD | BROLL:</w:t>
      </w:r>
    </w:p>
    <w:p w14:paraId="7283220B" w14:textId="77777777" w:rsidR="00E97EB5" w:rsidRPr="00194EFC" w:rsidRDefault="00E97EB5" w:rsidP="00E97EB5">
      <w:pPr>
        <w:spacing w:after="0" w:line="240" w:lineRule="auto"/>
        <w:rPr>
          <w:rFonts w:ascii="Arial" w:eastAsia="Calibri" w:hAnsi="Arial" w:cs="Arial"/>
          <w:kern w:val="0"/>
        </w:rPr>
      </w:pPr>
      <w:r w:rsidRPr="00194EFC">
        <w:rPr>
          <w:rFonts w:ascii="Arial" w:eastAsia="Calibri" w:hAnsi="Arial" w:cs="Arial"/>
          <w:kern w:val="0"/>
        </w:rPr>
        <w:t>As a leader in property, Cushman &amp; Wakefield | BROLL designs, delivers and manages real estate solutions to achieve business goals.</w:t>
      </w:r>
      <w:r w:rsidRPr="00194EFC">
        <w:rPr>
          <w:rFonts w:ascii="Arial" w:eastAsia="Calibri" w:hAnsi="Arial" w:cs="Arial"/>
          <w:b/>
          <w:bCs/>
          <w:kern w:val="0"/>
        </w:rPr>
        <w:t xml:space="preserve"> </w:t>
      </w:r>
      <w:r w:rsidRPr="00194EFC">
        <w:rPr>
          <w:rFonts w:ascii="Arial" w:eastAsia="Calibri" w:hAnsi="Arial" w:cs="Arial"/>
          <w:kern w:val="0"/>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8" w:history="1">
        <w:r w:rsidRPr="00194EFC">
          <w:rPr>
            <w:rFonts w:ascii="Arial" w:eastAsia="Calibri" w:hAnsi="Arial" w:cs="Arial"/>
            <w:color w:val="0563C1"/>
            <w:kern w:val="0"/>
            <w:u w:val="single"/>
          </w:rPr>
          <w:t>cwbroll.com</w:t>
        </w:r>
      </w:hyperlink>
      <w:r w:rsidRPr="00194EFC">
        <w:rPr>
          <w:rFonts w:ascii="Arial" w:eastAsia="Calibri" w:hAnsi="Arial" w:cs="Arial"/>
          <w:kern w:val="0"/>
        </w:rPr>
        <w:t xml:space="preserve"> for more information. Connect with us on </w:t>
      </w:r>
      <w:hyperlink r:id="rId9" w:history="1">
        <w:r w:rsidRPr="00194EFC">
          <w:rPr>
            <w:rFonts w:ascii="Arial" w:eastAsia="Calibri" w:hAnsi="Arial" w:cs="Arial"/>
            <w:color w:val="0563C1"/>
            <w:kern w:val="0"/>
            <w:u w:val="single"/>
          </w:rPr>
          <w:t>Facebook</w:t>
        </w:r>
      </w:hyperlink>
      <w:r w:rsidRPr="00194EFC">
        <w:rPr>
          <w:rFonts w:ascii="Arial" w:eastAsia="Calibri" w:hAnsi="Arial" w:cs="Arial"/>
          <w:kern w:val="0"/>
        </w:rPr>
        <w:t xml:space="preserve">, </w:t>
      </w:r>
      <w:hyperlink r:id="rId10" w:history="1">
        <w:r w:rsidRPr="00194EFC">
          <w:rPr>
            <w:rFonts w:ascii="Arial" w:eastAsia="Calibri" w:hAnsi="Arial" w:cs="Arial"/>
            <w:color w:val="0563C1"/>
            <w:kern w:val="0"/>
            <w:u w:val="single"/>
          </w:rPr>
          <w:t>LinkedIn</w:t>
        </w:r>
      </w:hyperlink>
      <w:r w:rsidRPr="00194EFC">
        <w:rPr>
          <w:rFonts w:ascii="Arial" w:eastAsia="Calibri" w:hAnsi="Arial" w:cs="Arial"/>
          <w:kern w:val="0"/>
        </w:rPr>
        <w:t xml:space="preserve"> and </w:t>
      </w:r>
      <w:hyperlink r:id="rId11" w:history="1">
        <w:r w:rsidRPr="00194EFC">
          <w:rPr>
            <w:rFonts w:ascii="Arial" w:eastAsia="Calibri" w:hAnsi="Arial" w:cs="Arial"/>
            <w:color w:val="0563C1"/>
            <w:kern w:val="0"/>
            <w:u w:val="single"/>
          </w:rPr>
          <w:t>YouTube</w:t>
        </w:r>
      </w:hyperlink>
      <w:r w:rsidRPr="00194EFC">
        <w:rPr>
          <w:rFonts w:ascii="Arial" w:eastAsia="Calibri" w:hAnsi="Arial" w:cs="Arial"/>
          <w:kern w:val="0"/>
        </w:rPr>
        <w:t>.</w:t>
      </w:r>
    </w:p>
    <w:p w14:paraId="2BBDF915" w14:textId="77777777" w:rsidR="00E97EB5" w:rsidRPr="00194EFC" w:rsidRDefault="00E97EB5" w:rsidP="00E97EB5">
      <w:pPr>
        <w:spacing w:after="0" w:line="240" w:lineRule="auto"/>
        <w:rPr>
          <w:rFonts w:ascii="Arial" w:eastAsia="Calibri" w:hAnsi="Arial" w:cs="Arial"/>
          <w:kern w:val="0"/>
        </w:rPr>
      </w:pPr>
    </w:p>
    <w:p w14:paraId="3209627C" w14:textId="77777777" w:rsidR="00E97EB5" w:rsidRPr="00194EFC" w:rsidRDefault="00E97EB5" w:rsidP="00E97EB5">
      <w:pPr>
        <w:spacing w:after="0" w:line="240" w:lineRule="auto"/>
        <w:rPr>
          <w:rFonts w:ascii="Arial" w:eastAsia="Calibri" w:hAnsi="Arial" w:cs="Arial"/>
          <w:b/>
          <w:bCs/>
          <w:kern w:val="0"/>
        </w:rPr>
      </w:pPr>
      <w:r w:rsidRPr="00194EFC">
        <w:rPr>
          <w:rFonts w:ascii="Arial" w:eastAsia="Calibri" w:hAnsi="Arial" w:cs="Arial"/>
          <w:b/>
          <w:bCs/>
          <w:kern w:val="0"/>
        </w:rPr>
        <w:t>Released By:</w:t>
      </w:r>
    </w:p>
    <w:p w14:paraId="2D14104E" w14:textId="77777777" w:rsidR="00E97EB5" w:rsidRPr="00194EFC" w:rsidRDefault="00E97EB5" w:rsidP="00E97EB5">
      <w:pPr>
        <w:spacing w:after="0" w:line="240" w:lineRule="auto"/>
        <w:rPr>
          <w:rFonts w:ascii="Arial" w:eastAsia="Calibri" w:hAnsi="Arial" w:cs="Arial"/>
          <w:b/>
          <w:bCs/>
          <w:kern w:val="0"/>
        </w:rPr>
      </w:pPr>
      <w:r w:rsidRPr="00194EFC">
        <w:rPr>
          <w:rFonts w:ascii="Arial" w:hAnsi="Arial" w:cs="Arial"/>
          <w:noProof/>
          <w:kern w:val="0"/>
          <w:lang w:eastAsia="en-ZA"/>
        </w:rPr>
        <w:drawing>
          <wp:inline distT="0" distB="0" distL="0" distR="0" wp14:anchorId="74F5A5B4" wp14:editId="41E61D4F">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194EFC">
        <w:rPr>
          <w:rFonts w:ascii="Arial" w:eastAsia="Calibri" w:hAnsi="Arial" w:cs="Arial"/>
          <w:b/>
          <w:bCs/>
          <w:kern w:val="0"/>
        </w:rPr>
        <w:t xml:space="preserve"> </w:t>
      </w:r>
    </w:p>
    <w:p w14:paraId="75C25155" w14:textId="77777777" w:rsidR="00E97EB5" w:rsidRPr="00194EFC" w:rsidRDefault="00E97EB5" w:rsidP="00E97EB5">
      <w:pPr>
        <w:spacing w:after="0" w:line="240" w:lineRule="auto"/>
        <w:rPr>
          <w:rFonts w:ascii="Arial" w:eastAsia="Calibri" w:hAnsi="Arial" w:cs="Arial"/>
          <w:b/>
          <w:bCs/>
          <w:kern w:val="0"/>
        </w:rPr>
      </w:pPr>
      <w:r w:rsidRPr="00194EFC">
        <w:rPr>
          <w:rFonts w:ascii="Arial" w:eastAsia="Calibri" w:hAnsi="Arial" w:cs="Arial"/>
          <w:b/>
          <w:bCs/>
          <w:kern w:val="0"/>
        </w:rPr>
        <w:t>FOR MORE INFORMATION OR TO BOOK AN INTERVIEW:</w:t>
      </w:r>
    </w:p>
    <w:p w14:paraId="3AB71148" w14:textId="525528AF" w:rsidR="00E97EB5" w:rsidRPr="00194EFC" w:rsidRDefault="00E97EB5" w:rsidP="00E97EB5">
      <w:pPr>
        <w:spacing w:after="0" w:line="240" w:lineRule="auto"/>
        <w:rPr>
          <w:rFonts w:ascii="Arial" w:eastAsia="Calibri" w:hAnsi="Arial" w:cs="Arial"/>
          <w:kern w:val="0"/>
        </w:rPr>
      </w:pPr>
      <w:r w:rsidRPr="00194EFC">
        <w:rPr>
          <w:rFonts w:ascii="Arial" w:eastAsia="Calibri" w:hAnsi="Arial" w:cs="Arial"/>
          <w:kern w:val="0"/>
        </w:rPr>
        <w:t>Angie Di Giovampaolo</w:t>
      </w:r>
    </w:p>
    <w:p w14:paraId="1C1EC41C" w14:textId="77777777" w:rsidR="00E97EB5" w:rsidRPr="00194EFC" w:rsidRDefault="00E97EB5" w:rsidP="00E97EB5">
      <w:pPr>
        <w:spacing w:after="0" w:line="240" w:lineRule="auto"/>
        <w:rPr>
          <w:rFonts w:ascii="Arial" w:eastAsia="Calibri" w:hAnsi="Arial" w:cs="Arial"/>
          <w:kern w:val="0"/>
        </w:rPr>
      </w:pPr>
      <w:r w:rsidRPr="00194EFC">
        <w:rPr>
          <w:rFonts w:ascii="Arial" w:eastAsia="Calibri" w:hAnsi="Arial" w:cs="Arial"/>
          <w:kern w:val="0"/>
        </w:rPr>
        <w:t>083 453 6668</w:t>
      </w:r>
    </w:p>
    <w:p w14:paraId="63562E8D" w14:textId="4D59F551" w:rsidR="00E97EB5" w:rsidRPr="00194EFC" w:rsidRDefault="00E97EB5" w:rsidP="00E97EB5">
      <w:pPr>
        <w:spacing w:after="0" w:line="240" w:lineRule="auto"/>
        <w:rPr>
          <w:rFonts w:ascii="Arial" w:eastAsia="Calibri" w:hAnsi="Arial" w:cs="Arial"/>
          <w:b/>
          <w:bCs/>
          <w:kern w:val="0"/>
        </w:rPr>
      </w:pPr>
      <w:hyperlink r:id="rId13" w:history="1">
        <w:r w:rsidRPr="00194EFC">
          <w:rPr>
            <w:rStyle w:val="Hyperlink"/>
            <w:rFonts w:ascii="Arial" w:eastAsia="Calibri" w:hAnsi="Arial" w:cs="Arial"/>
            <w:kern w:val="0"/>
          </w:rPr>
          <w:t>angie@catchwords.co.za</w:t>
        </w:r>
      </w:hyperlink>
      <w:bookmarkStart w:id="0" w:name="txt_subject"/>
      <w:bookmarkEnd w:id="0"/>
    </w:p>
    <w:p w14:paraId="7C44C2E4" w14:textId="77777777" w:rsidR="00E97EB5" w:rsidRPr="00383CF2" w:rsidRDefault="00E97EB5" w:rsidP="00E97EB5">
      <w:pPr>
        <w:rPr>
          <w:rFonts w:ascii="Arial" w:hAnsi="Arial" w:cs="Arial"/>
          <w:sz w:val="20"/>
          <w:szCs w:val="20"/>
        </w:rPr>
      </w:pPr>
    </w:p>
    <w:p w14:paraId="6F7A01CB" w14:textId="77777777" w:rsidR="00B333FB" w:rsidRPr="001E57AF" w:rsidRDefault="00B333FB" w:rsidP="00D50BAD">
      <w:pPr>
        <w:rPr>
          <w:sz w:val="24"/>
          <w:szCs w:val="24"/>
        </w:rPr>
      </w:pPr>
    </w:p>
    <w:sectPr w:rsidR="00B333FB" w:rsidRPr="001E57AF" w:rsidSect="00E97EB5">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B6FE" w14:textId="77777777" w:rsidR="008956AD" w:rsidRDefault="008956AD" w:rsidP="00E97EB5">
      <w:pPr>
        <w:spacing w:after="0" w:line="240" w:lineRule="auto"/>
      </w:pPr>
      <w:r>
        <w:separator/>
      </w:r>
    </w:p>
  </w:endnote>
  <w:endnote w:type="continuationSeparator" w:id="0">
    <w:p w14:paraId="39A4D2ED" w14:textId="77777777" w:rsidR="008956AD" w:rsidRDefault="008956AD" w:rsidP="00E9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4FA2" w14:textId="77777777" w:rsidR="008956AD" w:rsidRDefault="008956AD" w:rsidP="00E97EB5">
      <w:pPr>
        <w:spacing w:after="0" w:line="240" w:lineRule="auto"/>
      </w:pPr>
      <w:r>
        <w:separator/>
      </w:r>
    </w:p>
  </w:footnote>
  <w:footnote w:type="continuationSeparator" w:id="0">
    <w:p w14:paraId="087668EC" w14:textId="77777777" w:rsidR="008956AD" w:rsidRDefault="008956AD" w:rsidP="00E9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06B1" w14:textId="34C16088" w:rsidR="00E97EB5" w:rsidRDefault="00E97EB5" w:rsidP="00E97EB5">
    <w:pPr>
      <w:pStyle w:val="Header"/>
      <w:jc w:val="center"/>
    </w:pPr>
    <w:r>
      <w:rPr>
        <w:noProof/>
      </w:rPr>
      <w:drawing>
        <wp:inline distT="0" distB="0" distL="0" distR="0" wp14:anchorId="1AC10E1F" wp14:editId="528AE007">
          <wp:extent cx="5730875" cy="1207135"/>
          <wp:effectExtent l="0" t="0" r="0" b="0"/>
          <wp:docPr id="1243336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2071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3E"/>
    <w:rsid w:val="00057235"/>
    <w:rsid w:val="000C1AB0"/>
    <w:rsid w:val="000D16A3"/>
    <w:rsid w:val="00131752"/>
    <w:rsid w:val="00194EFC"/>
    <w:rsid w:val="001E57AF"/>
    <w:rsid w:val="001E60FF"/>
    <w:rsid w:val="002C0F8C"/>
    <w:rsid w:val="00373772"/>
    <w:rsid w:val="00377C6C"/>
    <w:rsid w:val="0039081A"/>
    <w:rsid w:val="003A0E2A"/>
    <w:rsid w:val="003B0DC9"/>
    <w:rsid w:val="003E3609"/>
    <w:rsid w:val="00464367"/>
    <w:rsid w:val="004F095D"/>
    <w:rsid w:val="0057464F"/>
    <w:rsid w:val="00592355"/>
    <w:rsid w:val="005A2550"/>
    <w:rsid w:val="005A7C47"/>
    <w:rsid w:val="005B2368"/>
    <w:rsid w:val="0061509C"/>
    <w:rsid w:val="006442B4"/>
    <w:rsid w:val="006B063F"/>
    <w:rsid w:val="006D1140"/>
    <w:rsid w:val="0074051E"/>
    <w:rsid w:val="00766B5A"/>
    <w:rsid w:val="00794D44"/>
    <w:rsid w:val="00813B47"/>
    <w:rsid w:val="008233B1"/>
    <w:rsid w:val="008537C4"/>
    <w:rsid w:val="008956AD"/>
    <w:rsid w:val="008E3DED"/>
    <w:rsid w:val="009447D5"/>
    <w:rsid w:val="009504DF"/>
    <w:rsid w:val="009D1010"/>
    <w:rsid w:val="00A3433E"/>
    <w:rsid w:val="00A35B15"/>
    <w:rsid w:val="00A650E5"/>
    <w:rsid w:val="00A85FB8"/>
    <w:rsid w:val="00A97DBB"/>
    <w:rsid w:val="00B333FB"/>
    <w:rsid w:val="00BA0E27"/>
    <w:rsid w:val="00C90937"/>
    <w:rsid w:val="00CE102C"/>
    <w:rsid w:val="00D2299D"/>
    <w:rsid w:val="00D47BBA"/>
    <w:rsid w:val="00D50BAD"/>
    <w:rsid w:val="00D82F5B"/>
    <w:rsid w:val="00DF0FE3"/>
    <w:rsid w:val="00E90271"/>
    <w:rsid w:val="00E97EB5"/>
    <w:rsid w:val="00EA3FA2"/>
    <w:rsid w:val="00FA625A"/>
    <w:rsid w:val="00FB4BFE"/>
    <w:rsid w:val="00FD4D32"/>
    <w:rsid w:val="00FE7643"/>
    <w:rsid w:val="00FF33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5821"/>
  <w15:chartTrackingRefBased/>
  <w15:docId w15:val="{1BADF9D0-1A6B-4A0E-98A3-CC87BE7E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3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3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43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43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43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43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43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3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3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43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43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43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43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43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4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3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3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433E"/>
    <w:pPr>
      <w:spacing w:before="160"/>
      <w:jc w:val="center"/>
    </w:pPr>
    <w:rPr>
      <w:i/>
      <w:iCs/>
      <w:color w:val="404040" w:themeColor="text1" w:themeTint="BF"/>
    </w:rPr>
  </w:style>
  <w:style w:type="character" w:customStyle="1" w:styleId="QuoteChar">
    <w:name w:val="Quote Char"/>
    <w:basedOn w:val="DefaultParagraphFont"/>
    <w:link w:val="Quote"/>
    <w:uiPriority w:val="29"/>
    <w:rsid w:val="00A3433E"/>
    <w:rPr>
      <w:i/>
      <w:iCs/>
      <w:color w:val="404040" w:themeColor="text1" w:themeTint="BF"/>
    </w:rPr>
  </w:style>
  <w:style w:type="paragraph" w:styleId="ListParagraph">
    <w:name w:val="List Paragraph"/>
    <w:basedOn w:val="Normal"/>
    <w:uiPriority w:val="34"/>
    <w:qFormat/>
    <w:rsid w:val="00A3433E"/>
    <w:pPr>
      <w:ind w:left="720"/>
      <w:contextualSpacing/>
    </w:pPr>
  </w:style>
  <w:style w:type="character" w:styleId="IntenseEmphasis">
    <w:name w:val="Intense Emphasis"/>
    <w:basedOn w:val="DefaultParagraphFont"/>
    <w:uiPriority w:val="21"/>
    <w:qFormat/>
    <w:rsid w:val="00A3433E"/>
    <w:rPr>
      <w:i/>
      <w:iCs/>
      <w:color w:val="0F4761" w:themeColor="accent1" w:themeShade="BF"/>
    </w:rPr>
  </w:style>
  <w:style w:type="paragraph" w:styleId="IntenseQuote">
    <w:name w:val="Intense Quote"/>
    <w:basedOn w:val="Normal"/>
    <w:next w:val="Normal"/>
    <w:link w:val="IntenseQuoteChar"/>
    <w:uiPriority w:val="30"/>
    <w:qFormat/>
    <w:rsid w:val="00A34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33E"/>
    <w:rPr>
      <w:i/>
      <w:iCs/>
      <w:color w:val="0F4761" w:themeColor="accent1" w:themeShade="BF"/>
    </w:rPr>
  </w:style>
  <w:style w:type="character" w:styleId="IntenseReference">
    <w:name w:val="Intense Reference"/>
    <w:basedOn w:val="DefaultParagraphFont"/>
    <w:uiPriority w:val="32"/>
    <w:qFormat/>
    <w:rsid w:val="00A3433E"/>
    <w:rPr>
      <w:b/>
      <w:bCs/>
      <w:smallCaps/>
      <w:color w:val="0F4761" w:themeColor="accent1" w:themeShade="BF"/>
      <w:spacing w:val="5"/>
    </w:rPr>
  </w:style>
  <w:style w:type="paragraph" w:styleId="Revision">
    <w:name w:val="Revision"/>
    <w:hidden/>
    <w:uiPriority w:val="99"/>
    <w:semiHidden/>
    <w:rsid w:val="0057464F"/>
    <w:pPr>
      <w:spacing w:after="0" w:line="240" w:lineRule="auto"/>
    </w:pPr>
  </w:style>
  <w:style w:type="character" w:styleId="CommentReference">
    <w:name w:val="annotation reference"/>
    <w:basedOn w:val="DefaultParagraphFont"/>
    <w:uiPriority w:val="99"/>
    <w:semiHidden/>
    <w:unhideWhenUsed/>
    <w:rsid w:val="0057464F"/>
    <w:rPr>
      <w:sz w:val="16"/>
      <w:szCs w:val="16"/>
    </w:rPr>
  </w:style>
  <w:style w:type="paragraph" w:styleId="CommentText">
    <w:name w:val="annotation text"/>
    <w:basedOn w:val="Normal"/>
    <w:link w:val="CommentTextChar"/>
    <w:uiPriority w:val="99"/>
    <w:unhideWhenUsed/>
    <w:rsid w:val="0057464F"/>
    <w:pPr>
      <w:spacing w:line="240" w:lineRule="auto"/>
    </w:pPr>
    <w:rPr>
      <w:sz w:val="20"/>
      <w:szCs w:val="20"/>
    </w:rPr>
  </w:style>
  <w:style w:type="character" w:customStyle="1" w:styleId="CommentTextChar">
    <w:name w:val="Comment Text Char"/>
    <w:basedOn w:val="DefaultParagraphFont"/>
    <w:link w:val="CommentText"/>
    <w:uiPriority w:val="99"/>
    <w:rsid w:val="0057464F"/>
    <w:rPr>
      <w:sz w:val="20"/>
      <w:szCs w:val="20"/>
    </w:rPr>
  </w:style>
  <w:style w:type="paragraph" w:styleId="CommentSubject">
    <w:name w:val="annotation subject"/>
    <w:basedOn w:val="CommentText"/>
    <w:next w:val="CommentText"/>
    <w:link w:val="CommentSubjectChar"/>
    <w:uiPriority w:val="99"/>
    <w:semiHidden/>
    <w:unhideWhenUsed/>
    <w:rsid w:val="0057464F"/>
    <w:rPr>
      <w:b/>
      <w:bCs/>
    </w:rPr>
  </w:style>
  <w:style w:type="character" w:customStyle="1" w:styleId="CommentSubjectChar">
    <w:name w:val="Comment Subject Char"/>
    <w:basedOn w:val="CommentTextChar"/>
    <w:link w:val="CommentSubject"/>
    <w:uiPriority w:val="99"/>
    <w:semiHidden/>
    <w:rsid w:val="0057464F"/>
    <w:rPr>
      <w:b/>
      <w:bCs/>
      <w:sz w:val="20"/>
      <w:szCs w:val="20"/>
    </w:rPr>
  </w:style>
  <w:style w:type="character" w:styleId="Hyperlink">
    <w:name w:val="Hyperlink"/>
    <w:basedOn w:val="DefaultParagraphFont"/>
    <w:uiPriority w:val="99"/>
    <w:unhideWhenUsed/>
    <w:rsid w:val="003B0DC9"/>
    <w:rPr>
      <w:color w:val="467886" w:themeColor="hyperlink"/>
      <w:u w:val="single"/>
    </w:rPr>
  </w:style>
  <w:style w:type="character" w:styleId="UnresolvedMention">
    <w:name w:val="Unresolved Mention"/>
    <w:basedOn w:val="DefaultParagraphFont"/>
    <w:uiPriority w:val="99"/>
    <w:semiHidden/>
    <w:unhideWhenUsed/>
    <w:rsid w:val="003B0DC9"/>
    <w:rPr>
      <w:color w:val="605E5C"/>
      <w:shd w:val="clear" w:color="auto" w:fill="E1DFDD"/>
    </w:rPr>
  </w:style>
  <w:style w:type="paragraph" w:customStyle="1" w:styleId="pdq2pgselectionanchorcontainer">
    <w:name w:val="pdq2pg_selectionanchorcontainer"/>
    <w:basedOn w:val="Normal"/>
    <w:rsid w:val="006150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1509C"/>
    <w:rPr>
      <w:b/>
      <w:bCs/>
    </w:rPr>
  </w:style>
  <w:style w:type="paragraph" w:styleId="NormalWeb">
    <w:name w:val="Normal (Web)"/>
    <w:basedOn w:val="Normal"/>
    <w:uiPriority w:val="99"/>
    <w:semiHidden/>
    <w:unhideWhenUsed/>
    <w:rsid w:val="006150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1509C"/>
    <w:rPr>
      <w:i/>
      <w:iCs/>
    </w:rPr>
  </w:style>
  <w:style w:type="paragraph" w:styleId="Header">
    <w:name w:val="header"/>
    <w:basedOn w:val="Normal"/>
    <w:link w:val="HeaderChar"/>
    <w:uiPriority w:val="99"/>
    <w:unhideWhenUsed/>
    <w:rsid w:val="00E97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B5"/>
  </w:style>
  <w:style w:type="paragraph" w:styleId="Footer">
    <w:name w:val="footer"/>
    <w:basedOn w:val="Normal"/>
    <w:link w:val="FooterChar"/>
    <w:uiPriority w:val="99"/>
    <w:unhideWhenUsed/>
    <w:rsid w:val="00E97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broll.com/" TargetMode="External"/><Relationship Id="rId13" Type="http://schemas.openxmlformats.org/officeDocument/2006/relationships/hyperlink" Target="mailto:angie@catchwords.co.za" TargetMode="External"/><Relationship Id="rId3" Type="http://schemas.openxmlformats.org/officeDocument/2006/relationships/webSettings" Target="webSettings.xml"/><Relationship Id="rId7" Type="http://schemas.openxmlformats.org/officeDocument/2006/relationships/hyperlink" Target="mailto:showe@broll.com" TargetMode="Externa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berowsky@broll.com" TargetMode="External"/><Relationship Id="rId11" Type="http://schemas.openxmlformats.org/officeDocument/2006/relationships/hyperlink" Target="https://www.youtube.com/@cwbrol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linkedin.com/company/cushman-and-wakefield-broll/" TargetMode="External"/><Relationship Id="rId4" Type="http://schemas.openxmlformats.org/officeDocument/2006/relationships/footnotes" Target="footnotes.xml"/><Relationship Id="rId9" Type="http://schemas.openxmlformats.org/officeDocument/2006/relationships/hyperlink" Target="https://www.facebook.com/CWBrol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4</cp:revision>
  <dcterms:created xsi:type="dcterms:W3CDTF">2026-07-16T10:55:00Z</dcterms:created>
  <dcterms:modified xsi:type="dcterms:W3CDTF">2026-07-21T08:09:00Z</dcterms:modified>
</cp:coreProperties>
</file>