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4C51" w14:textId="365229AA" w:rsidR="003F02D4" w:rsidRPr="003F02D4" w:rsidRDefault="003F02D4" w:rsidP="003F02D4">
      <w:pPr>
        <w:spacing w:after="0" w:line="240" w:lineRule="auto"/>
        <w:rPr>
          <w:rFonts w:ascii="Trebuchet MS" w:eastAsia="Times New Roman" w:hAnsi="Trebuchet MS"/>
          <w:kern w:val="0"/>
          <w:lang w:val="en-GB"/>
          <w14:ligatures w14:val="none"/>
        </w:rPr>
      </w:pPr>
      <w:r w:rsidRPr="003F02D4">
        <w:rPr>
          <w:rFonts w:ascii="Trebuchet MS" w:eastAsia="Times New Roman" w:hAnsi="Trebuchet MS"/>
          <w:kern w:val="0"/>
          <w:lang w:val="en-GB"/>
          <w14:ligatures w14:val="none"/>
        </w:rPr>
        <w:t>For Immediate Release</w:t>
      </w:r>
    </w:p>
    <w:p w14:paraId="1A17AC4D" w14:textId="401CE56F" w:rsidR="003F02D4" w:rsidRPr="003F02D4" w:rsidRDefault="003F02D4" w:rsidP="003F02D4">
      <w:pPr>
        <w:spacing w:after="0" w:line="264" w:lineRule="auto"/>
        <w:rPr>
          <w:rFonts w:ascii="Trebuchet MS" w:eastAsia="Times New Roman" w:hAnsi="Trebuchet MS"/>
          <w:kern w:val="0"/>
          <w:lang w:val="en-GB"/>
          <w14:ligatures w14:val="none"/>
        </w:rPr>
      </w:pPr>
      <w:r>
        <w:rPr>
          <w:rFonts w:ascii="Trebuchet MS" w:eastAsia="Times New Roman" w:hAnsi="Trebuchet MS"/>
          <w:kern w:val="0"/>
          <w:lang w:val="en-GB"/>
          <w14:ligatures w14:val="none"/>
        </w:rPr>
        <w:t>Wednesday</w:t>
      </w:r>
      <w:r w:rsidRPr="003F02D4">
        <w:rPr>
          <w:rFonts w:ascii="Trebuchet MS" w:eastAsia="Times New Roman" w:hAnsi="Trebuchet MS"/>
          <w:kern w:val="0"/>
          <w:lang w:val="en-GB"/>
          <w14:ligatures w14:val="none"/>
        </w:rPr>
        <w:t xml:space="preserve">, </w:t>
      </w:r>
      <w:r>
        <w:rPr>
          <w:rFonts w:ascii="Trebuchet MS" w:eastAsia="Times New Roman" w:hAnsi="Trebuchet MS"/>
          <w:kern w:val="0"/>
          <w:lang w:val="en-GB"/>
          <w14:ligatures w14:val="none"/>
        </w:rPr>
        <w:t>10</w:t>
      </w:r>
      <w:r w:rsidRPr="003F02D4">
        <w:rPr>
          <w:rFonts w:ascii="Trebuchet MS" w:eastAsia="Times New Roman" w:hAnsi="Trebuchet MS"/>
          <w:kern w:val="0"/>
          <w:lang w:val="en-GB"/>
          <w14:ligatures w14:val="none"/>
        </w:rPr>
        <w:t xml:space="preserve"> June 202</w:t>
      </w:r>
      <w:r>
        <w:rPr>
          <w:rFonts w:ascii="Trebuchet MS" w:eastAsia="Times New Roman" w:hAnsi="Trebuchet MS"/>
          <w:kern w:val="0"/>
          <w:lang w:val="en-GB"/>
          <w14:ligatures w14:val="none"/>
        </w:rPr>
        <w:t>6</w:t>
      </w:r>
      <w:r w:rsidRPr="003F02D4">
        <w:rPr>
          <w:rFonts w:ascii="Trebuchet MS" w:eastAsia="Times New Roman" w:hAnsi="Trebuchet MS"/>
          <w:kern w:val="0"/>
          <w:lang w:val="en-GB"/>
          <w14:ligatures w14:val="none"/>
        </w:rPr>
        <w:t>, Cape Town</w:t>
      </w:r>
    </w:p>
    <w:p w14:paraId="00A5C472" w14:textId="77777777" w:rsidR="003F02D4" w:rsidRDefault="003F02D4" w:rsidP="00986B0A">
      <w:pPr>
        <w:spacing w:after="0"/>
        <w:jc w:val="center"/>
        <w:rPr>
          <w:rFonts w:ascii="Trebuchet MS" w:hAnsi="Trebuchet MS"/>
          <w:b/>
          <w:bCs/>
          <w:sz w:val="28"/>
          <w:szCs w:val="28"/>
        </w:rPr>
      </w:pPr>
    </w:p>
    <w:p w14:paraId="5DB39E28" w14:textId="24A247B6" w:rsidR="004A340A" w:rsidRPr="00986B0A" w:rsidRDefault="002E1987" w:rsidP="00986B0A">
      <w:pPr>
        <w:spacing w:after="0"/>
        <w:jc w:val="center"/>
        <w:rPr>
          <w:rFonts w:ascii="Trebuchet MS" w:hAnsi="Trebuchet MS"/>
          <w:b/>
          <w:bCs/>
          <w:sz w:val="28"/>
          <w:szCs w:val="28"/>
        </w:rPr>
      </w:pPr>
      <w:r w:rsidRPr="00986B0A">
        <w:rPr>
          <w:rFonts w:ascii="Trebuchet MS" w:hAnsi="Trebuchet MS"/>
          <w:b/>
          <w:bCs/>
          <w:sz w:val="28"/>
          <w:szCs w:val="28"/>
        </w:rPr>
        <w:t>MSCI Green Annual Property Index 2025 confirms a decade of outperformance by green-certified offices</w:t>
      </w:r>
    </w:p>
    <w:p w14:paraId="1A13BBF2" w14:textId="77777777" w:rsidR="00986B0A" w:rsidRPr="00986B0A" w:rsidRDefault="00986B0A" w:rsidP="00986B0A">
      <w:pPr>
        <w:spacing w:after="0"/>
        <w:rPr>
          <w:rFonts w:ascii="Trebuchet MS" w:hAnsi="Trebuchet MS"/>
        </w:rPr>
      </w:pPr>
    </w:p>
    <w:p w14:paraId="4EC758BF" w14:textId="2DB834C5" w:rsidR="004A340A" w:rsidRPr="00986B0A" w:rsidRDefault="004A340A" w:rsidP="00986B0A">
      <w:pPr>
        <w:spacing w:after="0"/>
        <w:jc w:val="both"/>
        <w:rPr>
          <w:rFonts w:ascii="Trebuchet MS" w:hAnsi="Trebuchet MS"/>
          <w:b/>
          <w:bCs/>
        </w:rPr>
      </w:pPr>
      <w:r w:rsidRPr="00986B0A">
        <w:rPr>
          <w:rFonts w:ascii="Trebuchet MS" w:hAnsi="Trebuchet MS"/>
          <w:b/>
          <w:bCs/>
        </w:rPr>
        <w:t xml:space="preserve">After ten years of measurement, South Africa's MSCI Green Annual Property Index shows that green-certified </w:t>
      </w:r>
      <w:r w:rsidR="00986B0A">
        <w:rPr>
          <w:rFonts w:ascii="Trebuchet MS" w:hAnsi="Trebuchet MS"/>
          <w:b/>
          <w:bCs/>
        </w:rPr>
        <w:t>P</w:t>
      </w:r>
      <w:r w:rsidRPr="00986B0A">
        <w:rPr>
          <w:rFonts w:ascii="Trebuchet MS" w:hAnsi="Trebuchet MS"/>
          <w:b/>
          <w:bCs/>
        </w:rPr>
        <w:t>rime</w:t>
      </w:r>
      <w:r w:rsidR="00986B0A">
        <w:rPr>
          <w:rFonts w:ascii="Trebuchet MS" w:hAnsi="Trebuchet MS"/>
          <w:b/>
          <w:bCs/>
        </w:rPr>
        <w:t>-</w:t>
      </w:r>
      <w:r w:rsidRPr="00986B0A">
        <w:rPr>
          <w:rFonts w:ascii="Trebuchet MS" w:hAnsi="Trebuchet MS"/>
          <w:b/>
          <w:bCs/>
        </w:rPr>
        <w:t xml:space="preserve"> and A-grade offices have outperformed comparable non-certified offices by a cumulative 28.2%, providing compelling evidence of the long-term investment value associated with sustainable real estate.</w:t>
      </w:r>
    </w:p>
    <w:p w14:paraId="5216453D" w14:textId="77777777" w:rsidR="00986B0A" w:rsidRPr="00986B0A" w:rsidRDefault="00986B0A" w:rsidP="00986B0A">
      <w:pPr>
        <w:spacing w:after="0"/>
        <w:rPr>
          <w:rFonts w:ascii="Trebuchet MS" w:hAnsi="Trebuchet MS"/>
        </w:rPr>
      </w:pPr>
    </w:p>
    <w:p w14:paraId="02440AD8" w14:textId="77777777" w:rsidR="003576B6" w:rsidRDefault="003576B6" w:rsidP="00986B0A">
      <w:pPr>
        <w:spacing w:after="0"/>
        <w:rPr>
          <w:rFonts w:ascii="Trebuchet MS" w:hAnsi="Trebuchet MS"/>
        </w:rPr>
      </w:pPr>
      <w:r w:rsidRPr="00986B0A">
        <w:rPr>
          <w:rFonts w:ascii="Trebuchet MS" w:hAnsi="Trebuchet MS"/>
        </w:rPr>
        <w:t xml:space="preserve">Published annually since 2016 by MSCI in collaboration with the Green Building Council South Africa (GBCSA) and sponsored by Growthpoint Properties (JSE: GRT), the </w:t>
      </w:r>
      <w:r w:rsidRPr="00986B0A">
        <w:rPr>
          <w:rFonts w:ascii="Trebuchet MS" w:hAnsi="Trebuchet MS"/>
          <w:b/>
          <w:bCs/>
        </w:rPr>
        <w:t>2025 MSCI Green Annual Property Index</w:t>
      </w:r>
      <w:r w:rsidRPr="00986B0A">
        <w:rPr>
          <w:rFonts w:ascii="Trebuchet MS" w:hAnsi="Trebuchet MS"/>
        </w:rPr>
        <w:t xml:space="preserve"> provides an independent, globally aligned assessment of how green-certified properties perform relative to their non-certified counterparts. </w:t>
      </w:r>
    </w:p>
    <w:p w14:paraId="48F2AB8D" w14:textId="77777777" w:rsidR="00986B0A" w:rsidRPr="00986B0A" w:rsidRDefault="00986B0A" w:rsidP="00986B0A">
      <w:pPr>
        <w:spacing w:after="0"/>
        <w:rPr>
          <w:rFonts w:ascii="Trebuchet MS" w:hAnsi="Trebuchet MS"/>
        </w:rPr>
      </w:pPr>
    </w:p>
    <w:p w14:paraId="4E0341FA" w14:textId="54FBD43C" w:rsidR="004A340A" w:rsidRDefault="004A340A" w:rsidP="00986B0A">
      <w:pPr>
        <w:spacing w:after="0"/>
        <w:rPr>
          <w:rFonts w:ascii="Trebuchet MS" w:hAnsi="Trebuchet MS"/>
        </w:rPr>
      </w:pPr>
      <w:r w:rsidRPr="00986B0A">
        <w:rPr>
          <w:rFonts w:ascii="Trebuchet MS" w:hAnsi="Trebuchet MS"/>
        </w:rPr>
        <w:t xml:space="preserve">The latest index, based on performance to December 2025, found that green-certified </w:t>
      </w:r>
      <w:r w:rsidR="00986B0A">
        <w:rPr>
          <w:rFonts w:ascii="Trebuchet MS" w:hAnsi="Trebuchet MS"/>
        </w:rPr>
        <w:t>P</w:t>
      </w:r>
      <w:r w:rsidRPr="00986B0A">
        <w:rPr>
          <w:rFonts w:ascii="Trebuchet MS" w:hAnsi="Trebuchet MS"/>
        </w:rPr>
        <w:t>rime</w:t>
      </w:r>
      <w:r w:rsidR="00986B0A">
        <w:rPr>
          <w:rFonts w:ascii="Trebuchet MS" w:hAnsi="Trebuchet MS"/>
        </w:rPr>
        <w:t>-</w:t>
      </w:r>
      <w:r w:rsidRPr="00986B0A">
        <w:rPr>
          <w:rFonts w:ascii="Trebuchet MS" w:hAnsi="Trebuchet MS"/>
        </w:rPr>
        <w:t xml:space="preserve"> and A-grade offices delivered an annualised total return of 6.98% over the past decade, compared with 5.26% for non-certified office assets. This 172-basis-point annualised advantage has accumulated steadily over time, resulting in the substantial return premium now reflected in the data.</w:t>
      </w:r>
    </w:p>
    <w:p w14:paraId="15A4163F" w14:textId="77777777" w:rsidR="00986B0A" w:rsidRPr="00986B0A" w:rsidRDefault="00986B0A" w:rsidP="00986B0A">
      <w:pPr>
        <w:spacing w:after="0"/>
        <w:rPr>
          <w:rFonts w:ascii="Trebuchet MS" w:hAnsi="Trebuchet MS"/>
        </w:rPr>
      </w:pPr>
    </w:p>
    <w:p w14:paraId="6E06F2D4" w14:textId="3FF731E6" w:rsidR="004A340A" w:rsidRDefault="004A340A" w:rsidP="00986B0A">
      <w:pPr>
        <w:spacing w:after="0"/>
        <w:rPr>
          <w:rFonts w:ascii="Trebuchet MS" w:hAnsi="Trebuchet MS"/>
        </w:rPr>
      </w:pPr>
      <w:r w:rsidRPr="00986B0A">
        <w:rPr>
          <w:rFonts w:ascii="Trebuchet MS" w:hAnsi="Trebuchet MS"/>
        </w:rPr>
        <w:t xml:space="preserve">Importantly, the findings span a full property cycle, encompassing periods of economic growth, market disruption and recovery. </w:t>
      </w:r>
      <w:r w:rsidR="00C34088" w:rsidRPr="00986B0A">
        <w:rPr>
          <w:rFonts w:ascii="Trebuchet MS" w:hAnsi="Trebuchet MS"/>
        </w:rPr>
        <w:t>The consistency of the differential suggests that the advantages associated with green-certified property are increasingly structural, reflecting enduring occupier, operational and investment considerations rather than short-term market cycles.</w:t>
      </w:r>
    </w:p>
    <w:p w14:paraId="0426185C" w14:textId="77777777" w:rsidR="00986B0A" w:rsidRPr="00986B0A" w:rsidRDefault="00986B0A" w:rsidP="00986B0A">
      <w:pPr>
        <w:spacing w:after="0"/>
        <w:rPr>
          <w:rFonts w:ascii="Trebuchet MS" w:hAnsi="Trebuchet MS"/>
        </w:rPr>
      </w:pPr>
    </w:p>
    <w:p w14:paraId="1B9E9525" w14:textId="6D662FB1" w:rsidR="004A340A" w:rsidRDefault="004A340A" w:rsidP="00986B0A">
      <w:pPr>
        <w:spacing w:after="0"/>
        <w:rPr>
          <w:rFonts w:ascii="Trebuchet MS" w:hAnsi="Trebuchet MS"/>
        </w:rPr>
      </w:pPr>
      <w:r w:rsidRPr="00986B0A">
        <w:rPr>
          <w:rFonts w:ascii="Trebuchet MS" w:hAnsi="Trebuchet MS"/>
        </w:rPr>
        <w:t xml:space="preserve">The 2025 index covered a sample of 242 </w:t>
      </w:r>
      <w:r w:rsidR="00986B0A">
        <w:rPr>
          <w:rFonts w:ascii="Trebuchet MS" w:hAnsi="Trebuchet MS"/>
        </w:rPr>
        <w:t>P</w:t>
      </w:r>
      <w:r w:rsidRPr="00986B0A">
        <w:rPr>
          <w:rFonts w:ascii="Trebuchet MS" w:hAnsi="Trebuchet MS"/>
        </w:rPr>
        <w:t>rime</w:t>
      </w:r>
      <w:r w:rsidR="00986B0A">
        <w:rPr>
          <w:rFonts w:ascii="Trebuchet MS" w:hAnsi="Trebuchet MS"/>
        </w:rPr>
        <w:t>-</w:t>
      </w:r>
      <w:r w:rsidRPr="00986B0A">
        <w:rPr>
          <w:rFonts w:ascii="Trebuchet MS" w:hAnsi="Trebuchet MS"/>
        </w:rPr>
        <w:t xml:space="preserve"> and A-grade office properties with a combined value of R54.8 billion, including 122 green-certified buildings. It also tracked the performance of 33 green-certified retail properties, reflecting the continued expansion of certification across the commercial property sector.</w:t>
      </w:r>
    </w:p>
    <w:p w14:paraId="2DCE3699" w14:textId="77777777" w:rsidR="00986B0A" w:rsidRPr="00986B0A" w:rsidRDefault="00986B0A" w:rsidP="00986B0A">
      <w:pPr>
        <w:spacing w:after="0"/>
        <w:rPr>
          <w:rFonts w:ascii="Trebuchet MS" w:hAnsi="Trebuchet MS"/>
        </w:rPr>
      </w:pPr>
    </w:p>
    <w:p w14:paraId="2DCC7619" w14:textId="77777777" w:rsidR="004A340A" w:rsidRDefault="004A340A" w:rsidP="00986B0A">
      <w:pPr>
        <w:spacing w:after="0"/>
        <w:rPr>
          <w:rFonts w:ascii="Trebuchet MS" w:hAnsi="Trebuchet MS"/>
          <w:b/>
          <w:bCs/>
        </w:rPr>
      </w:pPr>
      <w:r w:rsidRPr="00986B0A">
        <w:rPr>
          <w:rFonts w:ascii="Trebuchet MS" w:hAnsi="Trebuchet MS"/>
          <w:b/>
          <w:bCs/>
        </w:rPr>
        <w:t>A decade of outperformance</w:t>
      </w:r>
    </w:p>
    <w:p w14:paraId="40C3C794" w14:textId="77777777" w:rsidR="00986B0A" w:rsidRPr="00986B0A" w:rsidRDefault="00986B0A" w:rsidP="00986B0A">
      <w:pPr>
        <w:spacing w:after="0"/>
        <w:rPr>
          <w:rFonts w:ascii="Trebuchet MS" w:hAnsi="Trebuchet MS"/>
          <w:b/>
          <w:bCs/>
        </w:rPr>
      </w:pPr>
    </w:p>
    <w:p w14:paraId="17DB65C4" w14:textId="4CB539DA" w:rsidR="004A340A" w:rsidRDefault="004A340A" w:rsidP="00986B0A">
      <w:pPr>
        <w:spacing w:after="0"/>
        <w:rPr>
          <w:rFonts w:ascii="Trebuchet MS" w:hAnsi="Trebuchet MS"/>
        </w:rPr>
      </w:pPr>
      <w:r w:rsidRPr="00986B0A">
        <w:rPr>
          <w:rFonts w:ascii="Trebuchet MS" w:hAnsi="Trebuchet MS"/>
        </w:rPr>
        <w:t xml:space="preserve">While non-certified offices recorded a marginally higher total return in 2025, MSCI attributes this largely to a short-term rental recovery from a lower </w:t>
      </w:r>
      <w:r w:rsidR="00986B0A">
        <w:rPr>
          <w:rFonts w:ascii="Trebuchet MS" w:hAnsi="Trebuchet MS"/>
        </w:rPr>
        <w:t xml:space="preserve">and lagging base, </w:t>
      </w:r>
      <w:r w:rsidRPr="00986B0A">
        <w:rPr>
          <w:rFonts w:ascii="Trebuchet MS" w:hAnsi="Trebuchet MS"/>
        </w:rPr>
        <w:t>rather than a change in the underlying characteristics of green-certified assets.</w:t>
      </w:r>
    </w:p>
    <w:p w14:paraId="040E9291" w14:textId="77777777" w:rsidR="00986B0A" w:rsidRPr="00986B0A" w:rsidRDefault="00986B0A" w:rsidP="00986B0A">
      <w:pPr>
        <w:spacing w:after="0"/>
        <w:rPr>
          <w:rFonts w:ascii="Trebuchet MS" w:hAnsi="Trebuchet MS"/>
        </w:rPr>
      </w:pPr>
    </w:p>
    <w:p w14:paraId="56DBCB05" w14:textId="77777777" w:rsidR="004A340A" w:rsidRDefault="004A340A" w:rsidP="00986B0A">
      <w:pPr>
        <w:spacing w:after="0"/>
        <w:rPr>
          <w:rFonts w:ascii="Trebuchet MS" w:hAnsi="Trebuchet MS"/>
        </w:rPr>
      </w:pPr>
      <w:r w:rsidRPr="00986B0A">
        <w:rPr>
          <w:rFonts w:ascii="Trebuchet MS" w:hAnsi="Trebuchet MS"/>
        </w:rPr>
        <w:t>The broader indicators that have underpinned the decade-long outperformance of green-certified offices remained firmly intact.</w:t>
      </w:r>
    </w:p>
    <w:p w14:paraId="02A03DDB" w14:textId="77777777" w:rsidR="00986B0A" w:rsidRPr="00986B0A" w:rsidRDefault="00986B0A" w:rsidP="00986B0A">
      <w:pPr>
        <w:spacing w:after="0"/>
        <w:rPr>
          <w:rFonts w:ascii="Trebuchet MS" w:hAnsi="Trebuchet MS"/>
        </w:rPr>
      </w:pPr>
    </w:p>
    <w:p w14:paraId="49086F35" w14:textId="77777777" w:rsidR="004A340A" w:rsidRDefault="004A340A" w:rsidP="00986B0A">
      <w:pPr>
        <w:spacing w:after="0"/>
        <w:rPr>
          <w:rFonts w:ascii="Trebuchet MS" w:hAnsi="Trebuchet MS"/>
        </w:rPr>
      </w:pPr>
      <w:r w:rsidRPr="00986B0A">
        <w:rPr>
          <w:rFonts w:ascii="Trebuchet MS" w:hAnsi="Trebuchet MS"/>
        </w:rPr>
        <w:t>Green-certified office properties continued to generate significantly higher levels of income, producing 34% greater gross income per square metre than their non-certified peers during 2025. They also maintained a lower operating cost-to-income ratio of 41% compared with 48% for non-certified offices, highlighting the efficiencies that sustainable buildings can deliver over time.</w:t>
      </w:r>
    </w:p>
    <w:p w14:paraId="1A45B6EF" w14:textId="77777777" w:rsidR="00986B0A" w:rsidRPr="00986B0A" w:rsidRDefault="00986B0A" w:rsidP="00986B0A">
      <w:pPr>
        <w:spacing w:after="0"/>
        <w:rPr>
          <w:rFonts w:ascii="Trebuchet MS" w:hAnsi="Trebuchet MS"/>
        </w:rPr>
      </w:pPr>
    </w:p>
    <w:p w14:paraId="639F2FC6" w14:textId="77777777" w:rsidR="004A340A" w:rsidRPr="00986B0A" w:rsidRDefault="004A340A" w:rsidP="00986B0A">
      <w:pPr>
        <w:spacing w:after="0"/>
        <w:rPr>
          <w:rFonts w:ascii="Trebuchet MS" w:hAnsi="Trebuchet MS"/>
        </w:rPr>
      </w:pPr>
      <w:r w:rsidRPr="00986B0A">
        <w:rPr>
          <w:rFonts w:ascii="Trebuchet MS" w:hAnsi="Trebuchet MS"/>
        </w:rPr>
        <w:lastRenderedPageBreak/>
        <w:t>Occupier demand likewise remained stronger. Green-certified offices recorded a vacancy rate of 10.3% compared with 13.1% for non-certified prime and A-grade offices, reinforcing the continued preference among many tenants for high-quality, resource-efficient accommodation.</w:t>
      </w:r>
    </w:p>
    <w:p w14:paraId="6CF8B1DE" w14:textId="4D4B4E45" w:rsidR="004A340A" w:rsidRDefault="004A340A" w:rsidP="00986B0A">
      <w:pPr>
        <w:spacing w:after="0"/>
        <w:rPr>
          <w:rFonts w:ascii="Trebuchet MS" w:hAnsi="Trebuchet MS"/>
        </w:rPr>
      </w:pPr>
      <w:r w:rsidRPr="00986B0A">
        <w:rPr>
          <w:rFonts w:ascii="Trebuchet MS" w:hAnsi="Trebuchet MS"/>
          <w:b/>
          <w:bCs/>
        </w:rPr>
        <w:t>Timothy Irvine, Head of Asset Management: Offices at Growthpoint Properties,</w:t>
      </w:r>
      <w:r w:rsidRPr="00986B0A">
        <w:rPr>
          <w:rFonts w:ascii="Trebuchet MS" w:hAnsi="Trebuchet MS"/>
        </w:rPr>
        <w:t xml:space="preserve"> </w:t>
      </w:r>
      <w:r w:rsidR="00986B0A">
        <w:rPr>
          <w:rFonts w:ascii="Trebuchet MS" w:hAnsi="Trebuchet MS"/>
        </w:rPr>
        <w:t>points out that</w:t>
      </w:r>
      <w:r w:rsidRPr="00986B0A">
        <w:rPr>
          <w:rFonts w:ascii="Trebuchet MS" w:hAnsi="Trebuchet MS"/>
        </w:rPr>
        <w:t xml:space="preserve"> the decade-long track record reflects a growing alignment between occupier expectations, sustainability objectives and investment outcomes.</w:t>
      </w:r>
    </w:p>
    <w:p w14:paraId="488BFEC0" w14:textId="77777777" w:rsidR="00986B0A" w:rsidRPr="00986B0A" w:rsidRDefault="00986B0A" w:rsidP="00986B0A">
      <w:pPr>
        <w:spacing w:after="0"/>
        <w:rPr>
          <w:rFonts w:ascii="Trebuchet MS" w:hAnsi="Trebuchet MS"/>
        </w:rPr>
      </w:pPr>
    </w:p>
    <w:p w14:paraId="1BCC83EB" w14:textId="1ADE3DA5" w:rsidR="004A340A" w:rsidRDefault="004A340A" w:rsidP="00986B0A">
      <w:pPr>
        <w:spacing w:after="0"/>
        <w:rPr>
          <w:rFonts w:ascii="Trebuchet MS" w:hAnsi="Trebuchet MS"/>
          <w:i/>
          <w:iCs/>
        </w:rPr>
      </w:pPr>
      <w:r w:rsidRPr="00986B0A">
        <w:rPr>
          <w:rFonts w:ascii="Trebuchet MS" w:hAnsi="Trebuchet MS"/>
          <w:i/>
          <w:iCs/>
        </w:rPr>
        <w:t xml:space="preserve">"The MSCI Green Annual Property Index continues to demonstrate that sustainable buildings are not only delivering environmental </w:t>
      </w:r>
      <w:r w:rsidR="00986B0A" w:rsidRPr="00986B0A">
        <w:rPr>
          <w:rFonts w:ascii="Trebuchet MS" w:hAnsi="Trebuchet MS"/>
          <w:i/>
          <w:iCs/>
        </w:rPr>
        <w:t>benefits but</w:t>
      </w:r>
      <w:r w:rsidRPr="00986B0A">
        <w:rPr>
          <w:rFonts w:ascii="Trebuchet MS" w:hAnsi="Trebuchet MS"/>
          <w:i/>
          <w:iCs/>
        </w:rPr>
        <w:t xml:space="preserve"> also creating measurable value for occupiers</w:t>
      </w:r>
      <w:r w:rsidR="00986B0A">
        <w:rPr>
          <w:rFonts w:ascii="Trebuchet MS" w:hAnsi="Trebuchet MS"/>
          <w:i/>
          <w:iCs/>
        </w:rPr>
        <w:t xml:space="preserve"> and investors</w:t>
      </w:r>
      <w:r w:rsidRPr="00986B0A">
        <w:rPr>
          <w:rFonts w:ascii="Trebuchet MS" w:hAnsi="Trebuchet MS"/>
          <w:i/>
          <w:iCs/>
        </w:rPr>
        <w:t>. Over time, we have seen increasing demand for buildings that offer greater operational</w:t>
      </w:r>
      <w:r w:rsidR="00986B0A">
        <w:rPr>
          <w:rFonts w:ascii="Trebuchet MS" w:hAnsi="Trebuchet MS"/>
          <w:i/>
          <w:iCs/>
        </w:rPr>
        <w:t xml:space="preserve"> and cost</w:t>
      </w:r>
      <w:r w:rsidRPr="00986B0A">
        <w:rPr>
          <w:rFonts w:ascii="Trebuchet MS" w:hAnsi="Trebuchet MS"/>
          <w:i/>
          <w:iCs/>
        </w:rPr>
        <w:t xml:space="preserve"> efficiency, resilience and quality environments for tenants. The long-term outperformance reflected in the index reinforces the strategic </w:t>
      </w:r>
      <w:r w:rsidR="002D616B">
        <w:rPr>
          <w:rFonts w:ascii="Trebuchet MS" w:hAnsi="Trebuchet MS"/>
          <w:i/>
          <w:iCs/>
        </w:rPr>
        <w:t>value of a</w:t>
      </w:r>
      <w:r w:rsidRPr="00986B0A">
        <w:rPr>
          <w:rFonts w:ascii="Trebuchet MS" w:hAnsi="Trebuchet MS"/>
          <w:i/>
          <w:iCs/>
        </w:rPr>
        <w:t xml:space="preserve"> strong portfolio </w:t>
      </w:r>
      <w:r w:rsidR="002D616B">
        <w:rPr>
          <w:rFonts w:ascii="Trebuchet MS" w:hAnsi="Trebuchet MS"/>
          <w:i/>
          <w:iCs/>
        </w:rPr>
        <w:t>built on resource efficiency and independently</w:t>
      </w:r>
      <w:r w:rsidR="00986B0A">
        <w:rPr>
          <w:rFonts w:ascii="Trebuchet MS" w:hAnsi="Trebuchet MS"/>
          <w:i/>
          <w:iCs/>
        </w:rPr>
        <w:t xml:space="preserve"> </w:t>
      </w:r>
      <w:r w:rsidR="002D616B">
        <w:rPr>
          <w:rFonts w:ascii="Trebuchet MS" w:hAnsi="Trebuchet MS"/>
          <w:i/>
          <w:iCs/>
        </w:rPr>
        <w:t>verified through</w:t>
      </w:r>
      <w:r w:rsidR="00986B0A">
        <w:rPr>
          <w:rFonts w:ascii="Trebuchet MS" w:hAnsi="Trebuchet MS"/>
          <w:i/>
          <w:iCs/>
        </w:rPr>
        <w:t xml:space="preserve"> </w:t>
      </w:r>
      <w:r w:rsidR="002D616B" w:rsidRPr="00986B0A">
        <w:rPr>
          <w:rFonts w:ascii="Trebuchet MS" w:hAnsi="Trebuchet MS"/>
          <w:i/>
          <w:iCs/>
        </w:rPr>
        <w:t>green certification</w:t>
      </w:r>
      <w:r w:rsidRPr="00986B0A">
        <w:rPr>
          <w:rFonts w:ascii="Trebuchet MS" w:hAnsi="Trebuchet MS"/>
          <w:i/>
          <w:iCs/>
        </w:rPr>
        <w:t>."</w:t>
      </w:r>
    </w:p>
    <w:p w14:paraId="7C2102EF" w14:textId="77777777" w:rsidR="00986B0A" w:rsidRPr="00986B0A" w:rsidRDefault="00986B0A" w:rsidP="00986B0A">
      <w:pPr>
        <w:spacing w:after="0"/>
        <w:rPr>
          <w:rFonts w:ascii="Trebuchet MS" w:hAnsi="Trebuchet MS"/>
        </w:rPr>
      </w:pPr>
    </w:p>
    <w:p w14:paraId="0FED8200" w14:textId="77777777" w:rsidR="004A340A" w:rsidRDefault="004A340A" w:rsidP="00986B0A">
      <w:pPr>
        <w:spacing w:after="0"/>
        <w:rPr>
          <w:rFonts w:ascii="Trebuchet MS" w:hAnsi="Trebuchet MS"/>
          <w:b/>
          <w:bCs/>
        </w:rPr>
      </w:pPr>
      <w:r w:rsidRPr="00986B0A">
        <w:rPr>
          <w:rFonts w:ascii="Trebuchet MS" w:hAnsi="Trebuchet MS"/>
          <w:b/>
          <w:bCs/>
        </w:rPr>
        <w:t>Stronger fundamentals support long-term value</w:t>
      </w:r>
    </w:p>
    <w:p w14:paraId="0CBBA2BA" w14:textId="77777777" w:rsidR="00986B0A" w:rsidRPr="00986B0A" w:rsidRDefault="00986B0A" w:rsidP="00986B0A">
      <w:pPr>
        <w:spacing w:after="0"/>
        <w:rPr>
          <w:rFonts w:ascii="Trebuchet MS" w:hAnsi="Trebuchet MS"/>
          <w:b/>
          <w:bCs/>
        </w:rPr>
      </w:pPr>
    </w:p>
    <w:p w14:paraId="25A0F33F" w14:textId="77777777" w:rsidR="004A340A" w:rsidRDefault="004A340A" w:rsidP="00986B0A">
      <w:pPr>
        <w:spacing w:after="0"/>
        <w:rPr>
          <w:rFonts w:ascii="Trebuchet MS" w:hAnsi="Trebuchet MS"/>
        </w:rPr>
      </w:pPr>
      <w:r w:rsidRPr="00986B0A">
        <w:rPr>
          <w:rFonts w:ascii="Trebuchet MS" w:hAnsi="Trebuchet MS"/>
        </w:rPr>
        <w:t>The gap between green-certified and non-certified offices is evident across several key indicators.</w:t>
      </w:r>
    </w:p>
    <w:p w14:paraId="60B5AC1C" w14:textId="77777777" w:rsidR="00986B0A" w:rsidRPr="00986B0A" w:rsidRDefault="00986B0A" w:rsidP="00986B0A">
      <w:pPr>
        <w:spacing w:after="0"/>
        <w:rPr>
          <w:rFonts w:ascii="Trebuchet MS" w:hAnsi="Trebuchet MS"/>
        </w:rPr>
      </w:pPr>
    </w:p>
    <w:p w14:paraId="2AA08909" w14:textId="77777777" w:rsidR="004A340A" w:rsidRDefault="004A340A" w:rsidP="00986B0A">
      <w:pPr>
        <w:spacing w:after="0"/>
        <w:rPr>
          <w:rFonts w:ascii="Trebuchet MS" w:hAnsi="Trebuchet MS"/>
        </w:rPr>
      </w:pPr>
      <w:r w:rsidRPr="00986B0A">
        <w:rPr>
          <w:rFonts w:ascii="Trebuchet MS" w:hAnsi="Trebuchet MS"/>
        </w:rPr>
        <w:t>In 2025, green-certified offices generated monthly net operating income of R152 per square metre, compared with R102 per square metre for non-certified assets. Higher rental levels, lower vacancies and stronger operational efficiency continue to support superior income generation.</w:t>
      </w:r>
    </w:p>
    <w:p w14:paraId="3891E8B1" w14:textId="77777777" w:rsidR="002D616B" w:rsidRPr="00986B0A" w:rsidRDefault="002D616B" w:rsidP="00986B0A">
      <w:pPr>
        <w:spacing w:after="0"/>
        <w:rPr>
          <w:rFonts w:ascii="Trebuchet MS" w:hAnsi="Trebuchet MS"/>
        </w:rPr>
      </w:pPr>
    </w:p>
    <w:p w14:paraId="6BB5ED3E" w14:textId="77777777" w:rsidR="004A340A" w:rsidRDefault="004A340A" w:rsidP="00986B0A">
      <w:pPr>
        <w:spacing w:after="0"/>
        <w:rPr>
          <w:rFonts w:ascii="Trebuchet MS" w:hAnsi="Trebuchet MS"/>
        </w:rPr>
      </w:pPr>
      <w:r w:rsidRPr="00986B0A">
        <w:rPr>
          <w:rFonts w:ascii="Trebuchet MS" w:hAnsi="Trebuchet MS"/>
        </w:rPr>
        <w:t>These advantages are reflected in valuations as well. Green-certified prime and A-grade offices were valued at R21,251 per square metre in 2025, compared with R14,510 per square metre for non-certified equivalents. Green-certified assets also maintained a lower capitalisation rate, signalling continued investor confidence in the quality and resilience of their income streams.</w:t>
      </w:r>
    </w:p>
    <w:p w14:paraId="0CDBAEB8" w14:textId="77777777" w:rsidR="002D616B" w:rsidRPr="00986B0A" w:rsidRDefault="002D616B" w:rsidP="00986B0A">
      <w:pPr>
        <w:spacing w:after="0"/>
        <w:rPr>
          <w:rFonts w:ascii="Trebuchet MS" w:hAnsi="Trebuchet MS"/>
        </w:rPr>
      </w:pPr>
    </w:p>
    <w:p w14:paraId="3D5B4E99" w14:textId="77777777" w:rsidR="004A340A" w:rsidRDefault="004A340A" w:rsidP="00986B0A">
      <w:pPr>
        <w:spacing w:after="0"/>
        <w:rPr>
          <w:rFonts w:ascii="Trebuchet MS" w:hAnsi="Trebuchet MS"/>
        </w:rPr>
      </w:pPr>
      <w:r w:rsidRPr="00986B0A">
        <w:rPr>
          <w:rFonts w:ascii="Trebuchet MS" w:hAnsi="Trebuchet MS"/>
        </w:rPr>
        <w:t xml:space="preserve">According to </w:t>
      </w:r>
      <w:r w:rsidRPr="002D616B">
        <w:rPr>
          <w:rFonts w:ascii="Trebuchet MS" w:hAnsi="Trebuchet MS"/>
          <w:b/>
          <w:bCs/>
        </w:rPr>
        <w:t>Eileen Andrew, Vice President: Client Coverage at MSCI South Africa</w:t>
      </w:r>
      <w:r w:rsidRPr="00986B0A">
        <w:rPr>
          <w:rFonts w:ascii="Trebuchet MS" w:hAnsi="Trebuchet MS"/>
        </w:rPr>
        <w:t>, the significance of the index lies in its ability to reveal longer-term market trends rather than focusing on the results of any single year.</w:t>
      </w:r>
    </w:p>
    <w:p w14:paraId="0B277D73" w14:textId="77777777" w:rsidR="002D616B" w:rsidRPr="00986B0A" w:rsidRDefault="002D616B" w:rsidP="00986B0A">
      <w:pPr>
        <w:spacing w:after="0"/>
        <w:rPr>
          <w:rFonts w:ascii="Trebuchet MS" w:hAnsi="Trebuchet MS"/>
        </w:rPr>
      </w:pPr>
    </w:p>
    <w:p w14:paraId="72E30CC9" w14:textId="77777777" w:rsidR="004A340A" w:rsidRDefault="004A340A" w:rsidP="00986B0A">
      <w:pPr>
        <w:spacing w:after="0"/>
        <w:rPr>
          <w:rFonts w:ascii="Trebuchet MS" w:hAnsi="Trebuchet MS"/>
          <w:i/>
          <w:iCs/>
        </w:rPr>
      </w:pPr>
      <w:r w:rsidRPr="00986B0A">
        <w:rPr>
          <w:rFonts w:ascii="Trebuchet MS" w:hAnsi="Trebuchet MS"/>
          <w:i/>
          <w:iCs/>
        </w:rPr>
        <w:t>"One year of performance never tells the full story. What makes the MSCI Green Annual Property Index particularly valuable is that it now provides a decade of consistent local evidence. While annual market conditions may vary, the data continues to show that green-certified offices benefit from stronger income generation, lower vacancies, greater operating efficiency and superior long-term return outcomes. These are characteristics that investors increasingly recognise and value."</w:t>
      </w:r>
    </w:p>
    <w:p w14:paraId="142A76BC" w14:textId="77777777" w:rsidR="002D616B" w:rsidRPr="00986B0A" w:rsidRDefault="002D616B" w:rsidP="00986B0A">
      <w:pPr>
        <w:spacing w:after="0"/>
        <w:rPr>
          <w:rFonts w:ascii="Trebuchet MS" w:hAnsi="Trebuchet MS"/>
        </w:rPr>
      </w:pPr>
    </w:p>
    <w:p w14:paraId="0B6E669F" w14:textId="77777777" w:rsidR="004A340A" w:rsidRDefault="004A340A" w:rsidP="00986B0A">
      <w:pPr>
        <w:spacing w:after="0"/>
        <w:rPr>
          <w:rFonts w:ascii="Trebuchet MS" w:hAnsi="Trebuchet MS"/>
        </w:rPr>
      </w:pPr>
      <w:r w:rsidRPr="00986B0A">
        <w:rPr>
          <w:rFonts w:ascii="Trebuchet MS" w:hAnsi="Trebuchet MS"/>
        </w:rPr>
        <w:t>Andrew says the cumulative outperformance achieved over the past decade points to a sustained market preference for properties that combine environmental performance with financial resilience.</w:t>
      </w:r>
    </w:p>
    <w:p w14:paraId="43F0D6D3" w14:textId="77777777" w:rsidR="002D616B" w:rsidRPr="00986B0A" w:rsidRDefault="002D616B" w:rsidP="00986B0A">
      <w:pPr>
        <w:spacing w:after="0"/>
        <w:rPr>
          <w:rFonts w:ascii="Trebuchet MS" w:hAnsi="Trebuchet MS"/>
        </w:rPr>
      </w:pPr>
    </w:p>
    <w:p w14:paraId="25638EF2" w14:textId="77777777" w:rsidR="004A340A" w:rsidRDefault="004A340A" w:rsidP="00986B0A">
      <w:pPr>
        <w:spacing w:after="0"/>
        <w:rPr>
          <w:rFonts w:ascii="Trebuchet MS" w:hAnsi="Trebuchet MS"/>
        </w:rPr>
      </w:pPr>
      <w:r w:rsidRPr="00986B0A">
        <w:rPr>
          <w:rFonts w:ascii="Trebuchet MS" w:hAnsi="Trebuchet MS"/>
        </w:rPr>
        <w:t xml:space="preserve">The index also continued to track green-certified retail properties, which outperformed their non-certified counterparts during 2025. While the retail dataset remains relatively </w:t>
      </w:r>
      <w:r w:rsidRPr="00986B0A">
        <w:rPr>
          <w:rFonts w:ascii="Trebuchet MS" w:hAnsi="Trebuchet MS"/>
        </w:rPr>
        <w:lastRenderedPageBreak/>
        <w:t>young, the results suggest that the benefits associated with certification are beginning to emerge across a broader range of property sectors.</w:t>
      </w:r>
    </w:p>
    <w:p w14:paraId="6380D934" w14:textId="77777777" w:rsidR="002D616B" w:rsidRPr="00986B0A" w:rsidRDefault="002D616B" w:rsidP="00986B0A">
      <w:pPr>
        <w:spacing w:after="0"/>
        <w:rPr>
          <w:rFonts w:ascii="Trebuchet MS" w:hAnsi="Trebuchet MS"/>
        </w:rPr>
      </w:pPr>
    </w:p>
    <w:p w14:paraId="776FA1B1" w14:textId="77777777" w:rsidR="004A340A" w:rsidRDefault="004A340A" w:rsidP="00986B0A">
      <w:pPr>
        <w:spacing w:after="0"/>
        <w:rPr>
          <w:rFonts w:ascii="Trebuchet MS" w:hAnsi="Trebuchet MS"/>
          <w:b/>
          <w:bCs/>
        </w:rPr>
      </w:pPr>
      <w:r w:rsidRPr="00986B0A">
        <w:rPr>
          <w:rFonts w:ascii="Trebuchet MS" w:hAnsi="Trebuchet MS"/>
          <w:b/>
          <w:bCs/>
        </w:rPr>
        <w:t>Building confidence in sustainable real estate</w:t>
      </w:r>
    </w:p>
    <w:p w14:paraId="3BB64D48" w14:textId="77777777" w:rsidR="00D028EA" w:rsidRPr="00986B0A" w:rsidRDefault="00D028EA" w:rsidP="00986B0A">
      <w:pPr>
        <w:spacing w:after="0"/>
        <w:rPr>
          <w:rFonts w:ascii="Trebuchet MS" w:hAnsi="Trebuchet MS"/>
          <w:b/>
          <w:bCs/>
        </w:rPr>
      </w:pPr>
    </w:p>
    <w:p w14:paraId="16EDD4F0" w14:textId="77777777" w:rsidR="00D028EA" w:rsidRPr="00D028EA" w:rsidRDefault="00D028EA" w:rsidP="00D028EA">
      <w:pPr>
        <w:spacing w:after="0"/>
        <w:rPr>
          <w:rFonts w:ascii="Trebuchet MS" w:hAnsi="Trebuchet MS"/>
        </w:rPr>
      </w:pPr>
      <w:r w:rsidRPr="00D028EA">
        <w:rPr>
          <w:rFonts w:ascii="Trebuchet MS" w:hAnsi="Trebuchet MS"/>
        </w:rPr>
        <w:t>For the GBCSA, the findings reflect both the growing maturity of South Africa's green building market and the important role that certification has played in providing a credible and consistent framework for measuring building performance over time.</w:t>
      </w:r>
    </w:p>
    <w:p w14:paraId="3D0EA646" w14:textId="77777777" w:rsidR="00D028EA" w:rsidRPr="00D028EA" w:rsidRDefault="00D028EA" w:rsidP="00D028EA">
      <w:pPr>
        <w:spacing w:after="0"/>
        <w:rPr>
          <w:rFonts w:ascii="Trebuchet MS" w:hAnsi="Trebuchet MS"/>
        </w:rPr>
      </w:pPr>
    </w:p>
    <w:p w14:paraId="760D8FE9" w14:textId="77777777" w:rsidR="00D028EA" w:rsidRPr="00D028EA" w:rsidRDefault="00D028EA" w:rsidP="00D028EA">
      <w:pPr>
        <w:spacing w:after="0"/>
        <w:rPr>
          <w:rFonts w:ascii="Trebuchet MS" w:hAnsi="Trebuchet MS"/>
        </w:rPr>
      </w:pPr>
      <w:r w:rsidRPr="00D028EA">
        <w:rPr>
          <w:rFonts w:ascii="Trebuchet MS" w:hAnsi="Trebuchet MS"/>
        </w:rPr>
        <w:t>Georgina Smit, CEO of the Green Building Council South Africa, says the index provides an increasingly valuable evidence base for the property sector.</w:t>
      </w:r>
    </w:p>
    <w:p w14:paraId="0156DE9A" w14:textId="77777777" w:rsidR="00D028EA" w:rsidRPr="00D028EA" w:rsidRDefault="00D028EA" w:rsidP="00D028EA">
      <w:pPr>
        <w:spacing w:after="0"/>
        <w:rPr>
          <w:rFonts w:ascii="Trebuchet MS" w:hAnsi="Trebuchet MS"/>
        </w:rPr>
      </w:pPr>
    </w:p>
    <w:p w14:paraId="7CA65E48" w14:textId="77777777" w:rsidR="00D028EA" w:rsidRPr="00D028EA" w:rsidRDefault="00D028EA" w:rsidP="00D028EA">
      <w:pPr>
        <w:spacing w:after="0"/>
        <w:rPr>
          <w:rFonts w:ascii="Trebuchet MS" w:hAnsi="Trebuchet MS"/>
        </w:rPr>
      </w:pPr>
      <w:r w:rsidRPr="00D028EA">
        <w:rPr>
          <w:rFonts w:ascii="Trebuchet MS" w:hAnsi="Trebuchet MS"/>
        </w:rPr>
        <w:t>"Certification provides a credible, independent framework for measuring and communicating building performance. Over the past decade, the index has helped build a valuable body of local evidence, demonstrating how sustainable building practices can translate into measurable benefits for property owners, investors and occupiers. That evidence is helping to strengthen confidence in the business case for green-certified property and supporting more informed decision-making across the market."</w:t>
      </w:r>
    </w:p>
    <w:p w14:paraId="157BF409" w14:textId="77777777" w:rsidR="00D028EA" w:rsidRPr="00D028EA" w:rsidRDefault="00D028EA" w:rsidP="00D028EA">
      <w:pPr>
        <w:spacing w:after="0"/>
        <w:rPr>
          <w:rFonts w:ascii="Trebuchet MS" w:hAnsi="Trebuchet MS"/>
        </w:rPr>
      </w:pPr>
    </w:p>
    <w:p w14:paraId="1C488B16" w14:textId="4F4DB04C" w:rsidR="002D616B" w:rsidRDefault="00D028EA" w:rsidP="00D028EA">
      <w:pPr>
        <w:spacing w:after="0"/>
        <w:rPr>
          <w:rFonts w:ascii="Trebuchet MS" w:hAnsi="Trebuchet MS"/>
        </w:rPr>
      </w:pPr>
      <w:r w:rsidRPr="00D028EA">
        <w:rPr>
          <w:rFonts w:ascii="Trebuchet MS" w:hAnsi="Trebuchet MS"/>
        </w:rPr>
        <w:t xml:space="preserve">“We have local primary data that shows how green building certification does not have to be a cost, it can </w:t>
      </w:r>
      <w:proofErr w:type="gramStart"/>
      <w:r w:rsidRPr="00D028EA">
        <w:rPr>
          <w:rFonts w:ascii="Trebuchet MS" w:hAnsi="Trebuchet MS"/>
        </w:rPr>
        <w:t>actually be</w:t>
      </w:r>
      <w:proofErr w:type="gramEnd"/>
      <w:r w:rsidRPr="00D028EA">
        <w:rPr>
          <w:rFonts w:ascii="Trebuchet MS" w:hAnsi="Trebuchet MS"/>
        </w:rPr>
        <w:t xml:space="preserve"> a competitive advantage. We need to spread the message of green and get every building in South Africa on a sustainability journey,” she says.</w:t>
      </w:r>
    </w:p>
    <w:p w14:paraId="0D8805C6" w14:textId="77777777" w:rsidR="008F42CF" w:rsidRPr="00986B0A" w:rsidRDefault="008F42CF" w:rsidP="00D028EA">
      <w:pPr>
        <w:spacing w:after="0"/>
        <w:rPr>
          <w:rFonts w:ascii="Trebuchet MS" w:hAnsi="Trebuchet MS"/>
        </w:rPr>
      </w:pPr>
    </w:p>
    <w:p w14:paraId="22CAE72B" w14:textId="0FE213A6" w:rsidR="00E11196" w:rsidRDefault="00E11196" w:rsidP="00986B0A">
      <w:pPr>
        <w:spacing w:after="0"/>
        <w:rPr>
          <w:rFonts w:ascii="Trebuchet MS" w:hAnsi="Trebuchet MS"/>
        </w:rPr>
      </w:pPr>
      <w:r w:rsidRPr="00986B0A">
        <w:rPr>
          <w:rFonts w:ascii="Trebuchet MS" w:hAnsi="Trebuchet MS"/>
        </w:rPr>
        <w:t>As one of South Africa's leading owners of green-certified property, Growthpoint continues to expand and optimise its portfolio of certified assets as part of its broader environmental, social and governance strategy.</w:t>
      </w:r>
      <w:r w:rsidR="002D616B">
        <w:rPr>
          <w:rFonts w:ascii="Trebuchet MS" w:hAnsi="Trebuchet MS"/>
        </w:rPr>
        <w:t xml:space="preserve"> For Growthpoint,</w:t>
      </w:r>
      <w:r w:rsidRPr="00986B0A">
        <w:rPr>
          <w:rFonts w:ascii="Trebuchet MS" w:hAnsi="Trebuchet MS"/>
        </w:rPr>
        <w:t xml:space="preserve"> sustainable property development and ownership as an important contribution to building a more resilient built environment and supporting South Africa's transition to a lower-carbon future. </w:t>
      </w:r>
    </w:p>
    <w:p w14:paraId="49F7A0C6" w14:textId="77777777" w:rsidR="002D616B" w:rsidRPr="00986B0A" w:rsidRDefault="002D616B" w:rsidP="00986B0A">
      <w:pPr>
        <w:spacing w:after="0"/>
        <w:rPr>
          <w:rFonts w:ascii="Trebuchet MS" w:hAnsi="Trebuchet MS"/>
        </w:rPr>
      </w:pPr>
    </w:p>
    <w:p w14:paraId="6B904AED" w14:textId="0544284E" w:rsidR="003606FD" w:rsidRDefault="003606FD" w:rsidP="00986B0A">
      <w:pPr>
        <w:spacing w:after="0"/>
        <w:rPr>
          <w:rFonts w:ascii="Trebuchet MS" w:hAnsi="Trebuchet MS"/>
        </w:rPr>
      </w:pPr>
      <w:r w:rsidRPr="00986B0A">
        <w:rPr>
          <w:rFonts w:ascii="Trebuchet MS" w:hAnsi="Trebuchet MS"/>
        </w:rPr>
        <w:t xml:space="preserve">A decade ago, the investment case for green-certified property was still being tested. Today, the conversation has shifted from aspiration to evidence. As investors, owners and occupiers increasingly seek assets that combine operational efficiency, resilience and long-term value creation, the MSCI Green Annual Property Index is building a substantial body of local evidence showing how sustainable building practices can translate into measurable outcomes. </w:t>
      </w:r>
    </w:p>
    <w:p w14:paraId="44EB2CAD" w14:textId="77777777" w:rsidR="00B333FB" w:rsidRDefault="00B333FB" w:rsidP="00986B0A">
      <w:pPr>
        <w:spacing w:after="0"/>
        <w:rPr>
          <w:rFonts w:ascii="Trebuchet MS" w:hAnsi="Trebuchet MS"/>
        </w:rPr>
      </w:pPr>
    </w:p>
    <w:p w14:paraId="227C89B9" w14:textId="2524A9E5" w:rsidR="002D616B" w:rsidRDefault="002D616B" w:rsidP="002D616B">
      <w:pPr>
        <w:spacing w:after="0"/>
        <w:jc w:val="center"/>
        <w:rPr>
          <w:rFonts w:ascii="Trebuchet MS" w:hAnsi="Trebuchet MS"/>
          <w:b/>
          <w:bCs/>
        </w:rPr>
      </w:pPr>
      <w:r w:rsidRPr="002D616B">
        <w:rPr>
          <w:rFonts w:ascii="Trebuchet MS" w:hAnsi="Trebuchet MS"/>
          <w:b/>
          <w:bCs/>
        </w:rPr>
        <w:t>…/ends</w:t>
      </w:r>
    </w:p>
    <w:p w14:paraId="129A9631" w14:textId="77777777" w:rsidR="003F02D4" w:rsidRPr="003F02D4" w:rsidRDefault="003F02D4" w:rsidP="003F02D4">
      <w:pPr>
        <w:spacing w:before="100" w:beforeAutospacing="1" w:after="100" w:afterAutospacing="1" w:line="240" w:lineRule="auto"/>
        <w:rPr>
          <w:rFonts w:ascii="Trebuchet MS" w:eastAsia="Times New Roman" w:hAnsi="Trebuchet MS"/>
          <w:kern w:val="0"/>
          <w:lang w:val="en-GB"/>
          <w14:ligatures w14:val="none"/>
        </w:rPr>
      </w:pPr>
      <w:r w:rsidRPr="003F02D4">
        <w:rPr>
          <w:rFonts w:ascii="Trebuchet MS" w:eastAsia="Times New Roman" w:hAnsi="Trebuchet MS"/>
          <w:b/>
          <w:bCs/>
          <w:kern w:val="0"/>
          <w:lang w:val="en-GB"/>
          <w14:ligatures w14:val="none"/>
        </w:rPr>
        <w:t>ABOUT GROWTHPOINT PROPERTIES:</w:t>
      </w:r>
    </w:p>
    <w:p w14:paraId="4F809F74" w14:textId="4FCA7D7F" w:rsidR="003F02D4" w:rsidRPr="003F02D4" w:rsidRDefault="003F02D4" w:rsidP="003F02D4">
      <w:pPr>
        <w:spacing w:after="200" w:line="240" w:lineRule="auto"/>
        <w:jc w:val="both"/>
        <w:rPr>
          <w:rFonts w:ascii="Trebuchet MS" w:eastAsia="Times New Roman" w:hAnsi="Trebuchet MS"/>
          <w:kern w:val="0"/>
          <w:lang w:val="en-GB"/>
          <w14:ligatures w14:val="none"/>
        </w:rPr>
      </w:pPr>
      <w:r w:rsidRPr="003F02D4">
        <w:rPr>
          <w:rFonts w:ascii="Trebuchet MS" w:eastAsia="Times New Roman" w:hAnsi="Trebuchet MS"/>
          <w:kern w:val="0"/>
          <w:lang w:val="en-GB"/>
          <w14:ligatures w14:val="none"/>
        </w:rPr>
        <w:t>Growthpoint creates space to thrive with innovative and sustainable property solutions in environmentally friendly buildings, while improving the social and material wellbeing of individuals and communities. Growthpoint is South Africa’s largest primary JSE-listed REIT. It is an international property company invested in real estate and communities in South Africa and across the African continent, Australia, and Eastern Europe. Growthpoint is at the forefront of environmental innovation in the property sector in South Africa. Visit </w:t>
      </w:r>
      <w:hyperlink r:id="rId4" w:history="1">
        <w:r w:rsidRPr="003F02D4">
          <w:rPr>
            <w:rFonts w:ascii="Trebuchet MS" w:eastAsia="Times New Roman" w:hAnsi="Trebuchet MS"/>
            <w:color w:val="0000FF"/>
            <w:kern w:val="0"/>
            <w:u w:val="single"/>
            <w:lang w:val="en-GB"/>
            <w14:ligatures w14:val="none"/>
          </w:rPr>
          <w:t>growthpoint.co.za</w:t>
        </w:r>
      </w:hyperlink>
      <w:r w:rsidRPr="003F02D4">
        <w:rPr>
          <w:rFonts w:ascii="Trebuchet MS" w:eastAsia="Times New Roman" w:hAnsi="Trebuchet MS"/>
          <w:kern w:val="0"/>
          <w:lang w:val="en-GB"/>
          <w14:ligatures w14:val="none"/>
        </w:rPr>
        <w:t> to learn more.</w:t>
      </w:r>
    </w:p>
    <w:p w14:paraId="14721430" w14:textId="77777777" w:rsidR="003F02D4" w:rsidRPr="003F02D4" w:rsidRDefault="003F02D4" w:rsidP="003F02D4">
      <w:pPr>
        <w:spacing w:after="200" w:line="240" w:lineRule="auto"/>
        <w:rPr>
          <w:rFonts w:ascii="Trebuchet MS" w:eastAsia="Times New Roman" w:hAnsi="Trebuchet MS"/>
          <w:b/>
          <w:bCs/>
          <w:kern w:val="0"/>
          <w:lang w:val="en-GB"/>
          <w14:ligatures w14:val="none"/>
        </w:rPr>
      </w:pPr>
      <w:r w:rsidRPr="003F02D4">
        <w:rPr>
          <w:rFonts w:ascii="Trebuchet MS" w:eastAsia="Times New Roman" w:hAnsi="Trebuchet MS"/>
          <w:b/>
          <w:bCs/>
          <w:kern w:val="0"/>
          <w:lang w:val="en-GB"/>
          <w14:ligatures w14:val="none"/>
        </w:rPr>
        <w:t>ABOUT MSCI:</w:t>
      </w:r>
    </w:p>
    <w:p w14:paraId="777D3041" w14:textId="77777777" w:rsidR="003F02D4" w:rsidRPr="003F02D4" w:rsidRDefault="003F02D4" w:rsidP="003F02D4">
      <w:pPr>
        <w:spacing w:after="0" w:line="240" w:lineRule="auto"/>
        <w:jc w:val="both"/>
        <w:rPr>
          <w:rFonts w:ascii="Trebuchet MS" w:eastAsia="Times New Roman" w:hAnsi="Trebuchet MS"/>
          <w:kern w:val="0"/>
          <w:lang w:val="en-GB"/>
          <w14:ligatures w14:val="none"/>
        </w:rPr>
      </w:pPr>
      <w:r w:rsidRPr="003F02D4">
        <w:rPr>
          <w:rFonts w:ascii="Trebuchet MS" w:eastAsia="Times New Roman" w:hAnsi="Trebuchet MS"/>
          <w:kern w:val="0"/>
          <w:lang w:val="en-GB"/>
          <w14:ligatures w14:val="none"/>
        </w:rPr>
        <w:lastRenderedPageBreak/>
        <w:t xml:space="preserve">MSCI is a leading provider of critical decision support tools and services for the global investment community. With over 50 years of expertise in research, data and technology, we power better investment decisions by enabling clients to understand and analyse key drivers of risk and return and confidently build more effective portfolios. We create industry-leading research-enhanced solutions that clients use to gain insight into and improve transparency across the investment process. To learn more, please visit </w:t>
      </w:r>
      <w:hyperlink r:id="rId5" w:history="1">
        <w:r w:rsidRPr="003F02D4">
          <w:rPr>
            <w:rFonts w:ascii="Trebuchet MS" w:eastAsia="Times New Roman" w:hAnsi="Trebuchet MS"/>
            <w:color w:val="0000FF"/>
            <w:kern w:val="0"/>
            <w:u w:val="single"/>
            <w:lang w:val="en-GB"/>
            <w14:ligatures w14:val="none"/>
          </w:rPr>
          <w:t>www.msci.com</w:t>
        </w:r>
      </w:hyperlink>
      <w:r w:rsidRPr="003F02D4">
        <w:rPr>
          <w:rFonts w:ascii="Trebuchet MS" w:eastAsia="Times New Roman" w:hAnsi="Trebuchet MS"/>
          <w:kern w:val="0"/>
          <w:lang w:val="en-GB"/>
          <w14:ligatures w14:val="none"/>
        </w:rPr>
        <w:t>.</w:t>
      </w:r>
    </w:p>
    <w:p w14:paraId="18B11E02" w14:textId="77777777" w:rsidR="003F02D4" w:rsidRPr="003F02D4" w:rsidRDefault="003F02D4" w:rsidP="003F02D4">
      <w:pPr>
        <w:spacing w:after="0" w:line="240" w:lineRule="auto"/>
        <w:rPr>
          <w:rFonts w:ascii="Trebuchet MS" w:eastAsia="Times New Roman" w:hAnsi="Trebuchet MS"/>
          <w:kern w:val="0"/>
          <w:lang w:val="en-GB"/>
          <w14:ligatures w14:val="none"/>
        </w:rPr>
      </w:pPr>
    </w:p>
    <w:p w14:paraId="5DD8F7E2" w14:textId="77777777" w:rsidR="003F02D4" w:rsidRPr="003F02D4" w:rsidRDefault="003F02D4" w:rsidP="003F02D4">
      <w:pPr>
        <w:spacing w:after="0" w:line="240" w:lineRule="auto"/>
        <w:rPr>
          <w:rFonts w:ascii="Trebuchet MS" w:eastAsia="Times New Roman" w:hAnsi="Trebuchet MS"/>
          <w:b/>
          <w:bCs/>
          <w:kern w:val="0"/>
          <w:lang w:val="en-GB"/>
          <w14:ligatures w14:val="none"/>
        </w:rPr>
      </w:pPr>
      <w:r w:rsidRPr="003F02D4">
        <w:rPr>
          <w:rFonts w:ascii="Trebuchet MS" w:eastAsia="Times New Roman" w:hAnsi="Trebuchet MS"/>
          <w:b/>
          <w:bCs/>
          <w:kern w:val="0"/>
          <w:lang w:val="en-GB"/>
          <w14:ligatures w14:val="none"/>
        </w:rPr>
        <w:t>ABOUT GREEN BUILDING COUNCIL SOUTH AFRICA (GBCSA):</w:t>
      </w:r>
    </w:p>
    <w:p w14:paraId="67AA8C0A" w14:textId="77777777" w:rsidR="003F02D4" w:rsidRPr="003F02D4" w:rsidRDefault="003F02D4" w:rsidP="003F02D4">
      <w:pPr>
        <w:spacing w:after="0" w:line="240" w:lineRule="auto"/>
        <w:rPr>
          <w:rFonts w:ascii="Trebuchet MS" w:eastAsia="Times New Roman" w:hAnsi="Trebuchet MS"/>
          <w:kern w:val="0"/>
          <w:lang w:val="en-GB"/>
          <w14:ligatures w14:val="none"/>
        </w:rPr>
      </w:pPr>
    </w:p>
    <w:p w14:paraId="14CB4DE7" w14:textId="300991D1" w:rsidR="003F02D4" w:rsidRDefault="003F02D4" w:rsidP="003F02D4">
      <w:pPr>
        <w:spacing w:after="60" w:line="240" w:lineRule="auto"/>
        <w:rPr>
          <w:rFonts w:ascii="Trebuchet MS" w:eastAsia="Aptos" w:hAnsi="Trebuchet MS" w:cs="Aptos"/>
          <w:color w:val="000000"/>
          <w:kern w:val="0"/>
          <w:lang w:val="en-GB"/>
          <w14:ligatures w14:val="none"/>
        </w:rPr>
      </w:pPr>
      <w:r w:rsidRPr="003F02D4">
        <w:rPr>
          <w:rFonts w:ascii="Trebuchet MS" w:eastAsia="Aptos" w:hAnsi="Trebuchet MS" w:cs="Aptos"/>
          <w:color w:val="000000"/>
          <w:kern w:val="0"/>
          <w:lang w:val="en-GB"/>
          <w14:ligatures w14:val="none"/>
        </w:rPr>
        <w:t>The Green Building Council South Africa (GBCSA) is a member-based organisation focused on transforming the built environment into a place where people and planet thrive. We advocate for all buildings and precincts to be designed, built, and operated in an environmentally sustainable manner. GBCSA provides green building</w:t>
      </w:r>
      <w:r w:rsidRPr="003F02D4">
        <w:rPr>
          <w:rFonts w:ascii="Roboto" w:eastAsia="Aptos" w:hAnsi="Roboto" w:cs="Aptos"/>
          <w:color w:val="000000"/>
          <w:kern w:val="0"/>
          <w:sz w:val="18"/>
          <w:szCs w:val="18"/>
          <w:lang w:val="en-GB"/>
          <w14:ligatures w14:val="none"/>
        </w:rPr>
        <w:t xml:space="preserve"> </w:t>
      </w:r>
      <w:r w:rsidRPr="003F02D4">
        <w:rPr>
          <w:rFonts w:ascii="Trebuchet MS" w:eastAsia="Aptos" w:hAnsi="Trebuchet MS" w:cs="Aptos"/>
          <w:color w:val="000000"/>
          <w:kern w:val="0"/>
          <w:lang w:val="en-GB"/>
          <w14:ligatures w14:val="none"/>
        </w:rPr>
        <w:t>certification and sustainability training for the built environment and all stakeholders within the built environment. GBCSA certifies buildings through the Green Star Africa rating system, which is a localised version of Green Star, as well as Net Zero and EDGE rating systems. Visit our website</w:t>
      </w:r>
      <w:r>
        <w:rPr>
          <w:rFonts w:ascii="Trebuchet MS" w:eastAsia="Aptos" w:hAnsi="Trebuchet MS" w:cs="Aptos"/>
          <w:color w:val="000000"/>
          <w:kern w:val="0"/>
          <w:lang w:val="en-GB"/>
          <w14:ligatures w14:val="none"/>
        </w:rPr>
        <w:t xml:space="preserve"> </w:t>
      </w:r>
      <w:hyperlink r:id="rId6" w:history="1">
        <w:r w:rsidRPr="002E3B79">
          <w:rPr>
            <w:rStyle w:val="Hyperlink"/>
            <w:rFonts w:ascii="Trebuchet MS" w:eastAsia="Aptos" w:hAnsi="Trebuchet MS" w:cs="Aptos"/>
            <w:kern w:val="0"/>
            <w:lang w:val="en-GB"/>
            <w14:ligatures w14:val="none"/>
          </w:rPr>
          <w:t>www.gbcsa.org.za/</w:t>
        </w:r>
      </w:hyperlink>
      <w:r>
        <w:rPr>
          <w:rFonts w:ascii="Trebuchet MS" w:eastAsia="Aptos" w:hAnsi="Trebuchet MS" w:cs="Aptos"/>
          <w:color w:val="000000"/>
          <w:kern w:val="0"/>
          <w:lang w:val="en-GB"/>
          <w14:ligatures w14:val="none"/>
        </w:rPr>
        <w:t xml:space="preserve">. </w:t>
      </w:r>
    </w:p>
    <w:p w14:paraId="5EBB40AD" w14:textId="77777777" w:rsidR="003F02D4" w:rsidRDefault="003F02D4" w:rsidP="003F02D4">
      <w:pPr>
        <w:spacing w:after="60" w:line="240" w:lineRule="auto"/>
        <w:rPr>
          <w:rFonts w:ascii="Trebuchet MS" w:eastAsia="Aptos" w:hAnsi="Trebuchet MS" w:cs="Aptos"/>
          <w:color w:val="000000"/>
          <w:kern w:val="0"/>
          <w:lang w:val="en-GB"/>
          <w14:ligatures w14:val="none"/>
        </w:rPr>
      </w:pPr>
    </w:p>
    <w:p w14:paraId="33F32CE1" w14:textId="77777777" w:rsidR="003F02D4" w:rsidRPr="003F02D4" w:rsidRDefault="003F02D4" w:rsidP="003F02D4">
      <w:pPr>
        <w:spacing w:after="60" w:line="240" w:lineRule="auto"/>
        <w:rPr>
          <w:rFonts w:ascii="Trebuchet MS" w:eastAsia="Aptos" w:hAnsi="Trebuchet MS" w:cs="Aptos"/>
          <w:b/>
          <w:bCs/>
          <w:color w:val="000000"/>
          <w:kern w:val="0"/>
          <w:lang w:val="en-GB"/>
          <w14:ligatures w14:val="none"/>
        </w:rPr>
      </w:pPr>
      <w:r w:rsidRPr="003F02D4">
        <w:rPr>
          <w:rFonts w:ascii="Trebuchet MS" w:eastAsia="Aptos" w:hAnsi="Trebuchet MS" w:cs="Aptos"/>
          <w:b/>
          <w:bCs/>
          <w:color w:val="000000"/>
          <w:kern w:val="0"/>
          <w:lang w:val="en-GB"/>
          <w14:ligatures w14:val="none"/>
        </w:rPr>
        <w:t>Media Enquiries:</w:t>
      </w:r>
    </w:p>
    <w:p w14:paraId="130D84D0" w14:textId="77777777" w:rsidR="003F02D4" w:rsidRPr="003F02D4" w:rsidRDefault="003F02D4" w:rsidP="003F02D4">
      <w:pPr>
        <w:spacing w:after="60" w:line="240" w:lineRule="auto"/>
        <w:rPr>
          <w:rFonts w:ascii="Trebuchet MS" w:eastAsia="Aptos" w:hAnsi="Trebuchet MS" w:cs="Aptos"/>
          <w:color w:val="000000"/>
          <w:kern w:val="0"/>
          <w:lang w:val="en-GB"/>
          <w14:ligatures w14:val="none"/>
        </w:rPr>
      </w:pPr>
    </w:p>
    <w:p w14:paraId="08ACE793" w14:textId="079B3658" w:rsidR="003F02D4" w:rsidRPr="003F02D4" w:rsidRDefault="003F02D4" w:rsidP="003F02D4">
      <w:pPr>
        <w:spacing w:after="60" w:line="240" w:lineRule="auto"/>
        <w:rPr>
          <w:rFonts w:ascii="Trebuchet MS" w:eastAsia="Aptos" w:hAnsi="Trebuchet MS" w:cs="Aptos"/>
          <w:b/>
          <w:bCs/>
          <w:color w:val="000000"/>
          <w:kern w:val="0"/>
          <w:lang w:val="en-GB"/>
          <w14:ligatures w14:val="none"/>
        </w:rPr>
      </w:pPr>
      <w:r w:rsidRPr="003F02D4">
        <w:rPr>
          <w:rFonts w:ascii="Trebuchet MS" w:eastAsia="Aptos" w:hAnsi="Trebuchet MS" w:cs="Aptos"/>
          <w:b/>
          <w:bCs/>
          <w:color w:val="000000"/>
          <w:kern w:val="0"/>
          <w:lang w:val="en-GB"/>
          <w14:ligatures w14:val="none"/>
        </w:rPr>
        <w:t>For GBCSA</w:t>
      </w:r>
    </w:p>
    <w:p w14:paraId="79BF0CEB" w14:textId="77777777" w:rsidR="003F02D4" w:rsidRDefault="003F02D4" w:rsidP="003F02D4">
      <w:pPr>
        <w:spacing w:after="60" w:line="240" w:lineRule="auto"/>
        <w:rPr>
          <w:rFonts w:ascii="Trebuchet MS" w:eastAsia="Aptos" w:hAnsi="Trebuchet MS" w:cs="Aptos"/>
          <w:color w:val="000000"/>
          <w:kern w:val="0"/>
          <w:lang w:val="en-GB"/>
          <w14:ligatures w14:val="none"/>
        </w:rPr>
      </w:pPr>
      <w:r w:rsidRPr="003F02D4">
        <w:rPr>
          <w:rFonts w:ascii="Trebuchet MS" w:eastAsia="Aptos" w:hAnsi="Trebuchet MS" w:cs="Aptos"/>
          <w:color w:val="000000"/>
          <w:kern w:val="0"/>
          <w:lang w:val="en-GB"/>
          <w14:ligatures w14:val="none"/>
        </w:rPr>
        <w:t>Maryann Shaw </w:t>
      </w:r>
    </w:p>
    <w:p w14:paraId="6B27F7C4" w14:textId="38D137CD" w:rsidR="003F02D4" w:rsidRPr="003F02D4" w:rsidRDefault="003F02D4" w:rsidP="003F02D4">
      <w:pPr>
        <w:spacing w:after="60" w:line="240" w:lineRule="auto"/>
        <w:rPr>
          <w:rFonts w:ascii="Trebuchet MS" w:eastAsia="Aptos" w:hAnsi="Trebuchet MS" w:cs="Aptos"/>
          <w:color w:val="000000"/>
          <w:kern w:val="0"/>
          <w:lang w:val="en-GB"/>
          <w14:ligatures w14:val="none"/>
        </w:rPr>
      </w:pPr>
      <w:r w:rsidRPr="003F02D4">
        <w:rPr>
          <w:rFonts w:ascii="Trebuchet MS" w:eastAsia="Aptos" w:hAnsi="Trebuchet MS" w:cs="Aptos"/>
          <w:color w:val="000000"/>
          <w:kern w:val="0"/>
          <w:lang w:val="en-GB"/>
          <w14:ligatures w14:val="none"/>
        </w:rPr>
        <w:t>+27 (0)83 4194235</w:t>
      </w:r>
    </w:p>
    <w:p w14:paraId="2CBF02EA" w14:textId="74D5D824" w:rsidR="003F02D4" w:rsidRDefault="003F02D4" w:rsidP="003F02D4">
      <w:pPr>
        <w:spacing w:after="60" w:line="240" w:lineRule="auto"/>
        <w:rPr>
          <w:rFonts w:ascii="Trebuchet MS" w:eastAsia="Aptos" w:hAnsi="Trebuchet MS" w:cs="Aptos"/>
          <w:color w:val="000000"/>
          <w:kern w:val="0"/>
          <w:lang w:val="en-GB"/>
          <w14:ligatures w14:val="none"/>
        </w:rPr>
      </w:pPr>
      <w:hyperlink r:id="rId7" w:history="1">
        <w:r w:rsidRPr="002E3B79">
          <w:rPr>
            <w:rStyle w:val="Hyperlink"/>
            <w:rFonts w:ascii="Trebuchet MS" w:eastAsia="Aptos" w:hAnsi="Trebuchet MS" w:cs="Aptos"/>
            <w:kern w:val="0"/>
            <w:lang w:val="en-GB"/>
            <w14:ligatures w14:val="none"/>
          </w:rPr>
          <w:t>maryann@maryannshawcommunications.co.za</w:t>
        </w:r>
      </w:hyperlink>
    </w:p>
    <w:p w14:paraId="1D03DF2E" w14:textId="77777777" w:rsidR="003F02D4" w:rsidRPr="003F02D4" w:rsidRDefault="003F02D4" w:rsidP="003F02D4">
      <w:pPr>
        <w:spacing w:after="60" w:line="240" w:lineRule="auto"/>
        <w:rPr>
          <w:rFonts w:ascii="Trebuchet MS" w:eastAsia="Aptos" w:hAnsi="Trebuchet MS" w:cs="Aptos"/>
          <w:color w:val="000000"/>
          <w:kern w:val="0"/>
          <w:lang w:val="en-GB"/>
          <w14:ligatures w14:val="none"/>
        </w:rPr>
      </w:pPr>
    </w:p>
    <w:p w14:paraId="36DF9377" w14:textId="68807F58" w:rsidR="003F02D4" w:rsidRPr="003F02D4" w:rsidRDefault="003F02D4" w:rsidP="003F02D4">
      <w:pPr>
        <w:spacing w:after="60" w:line="240" w:lineRule="auto"/>
        <w:rPr>
          <w:rFonts w:ascii="Trebuchet MS" w:eastAsia="Aptos" w:hAnsi="Trebuchet MS" w:cs="Aptos"/>
          <w:b/>
          <w:bCs/>
          <w:color w:val="000000"/>
          <w:kern w:val="0"/>
          <w:lang w:val="en-GB"/>
          <w14:ligatures w14:val="none"/>
        </w:rPr>
      </w:pPr>
      <w:r w:rsidRPr="003F02D4">
        <w:rPr>
          <w:rFonts w:ascii="Trebuchet MS" w:eastAsia="Aptos" w:hAnsi="Trebuchet MS" w:cs="Aptos"/>
          <w:b/>
          <w:bCs/>
          <w:color w:val="000000"/>
          <w:kern w:val="0"/>
          <w:lang w:val="en-GB"/>
          <w14:ligatures w14:val="none"/>
        </w:rPr>
        <w:t>For Growthpoint Properties</w:t>
      </w:r>
    </w:p>
    <w:p w14:paraId="3A290882" w14:textId="77777777" w:rsidR="003F02D4" w:rsidRPr="003F02D4" w:rsidRDefault="003F02D4" w:rsidP="003F02D4">
      <w:pPr>
        <w:spacing w:after="60" w:line="240" w:lineRule="auto"/>
        <w:rPr>
          <w:rFonts w:ascii="Trebuchet MS" w:eastAsia="Aptos" w:hAnsi="Trebuchet MS" w:cs="Aptos"/>
          <w:color w:val="000000"/>
          <w:kern w:val="0"/>
          <w:lang w:val="en-GB"/>
          <w14:ligatures w14:val="none"/>
        </w:rPr>
      </w:pPr>
      <w:r w:rsidRPr="003F02D4">
        <w:rPr>
          <w:rFonts w:ascii="Trebuchet MS" w:eastAsia="Aptos" w:hAnsi="Trebuchet MS" w:cs="Aptos"/>
          <w:color w:val="000000"/>
          <w:kern w:val="0"/>
          <w:lang w:val="en-GB"/>
          <w14:ligatures w14:val="none"/>
        </w:rPr>
        <w:t xml:space="preserve">Bronwen Noble </w:t>
      </w:r>
    </w:p>
    <w:p w14:paraId="5338399E" w14:textId="77777777" w:rsidR="003F02D4" w:rsidRPr="003F02D4" w:rsidRDefault="003F02D4" w:rsidP="003F02D4">
      <w:pPr>
        <w:spacing w:after="60" w:line="240" w:lineRule="auto"/>
        <w:rPr>
          <w:rFonts w:ascii="Trebuchet MS" w:eastAsia="Aptos" w:hAnsi="Trebuchet MS" w:cs="Aptos"/>
          <w:color w:val="000000"/>
          <w:kern w:val="0"/>
          <w:lang w:val="en-GB"/>
          <w14:ligatures w14:val="none"/>
        </w:rPr>
      </w:pPr>
      <w:r w:rsidRPr="003F02D4">
        <w:rPr>
          <w:rFonts w:ascii="Trebuchet MS" w:eastAsia="Aptos" w:hAnsi="Trebuchet MS" w:cs="Aptos"/>
          <w:color w:val="000000"/>
          <w:kern w:val="0"/>
          <w:lang w:val="en-GB"/>
          <w14:ligatures w14:val="none"/>
        </w:rPr>
        <w:t>+27 (0)83 453 6668</w:t>
      </w:r>
    </w:p>
    <w:p w14:paraId="2F074CCC" w14:textId="518048D9" w:rsidR="003F02D4" w:rsidRPr="003F02D4" w:rsidRDefault="003F02D4" w:rsidP="003F02D4">
      <w:pPr>
        <w:spacing w:after="60" w:line="240" w:lineRule="auto"/>
        <w:rPr>
          <w:rFonts w:ascii="Trebuchet MS" w:eastAsia="Aptos" w:hAnsi="Trebuchet MS" w:cs="Aptos"/>
          <w:color w:val="000000"/>
          <w:kern w:val="0"/>
          <w:lang w:val="en-GB"/>
          <w14:ligatures w14:val="none"/>
        </w:rPr>
      </w:pPr>
      <w:hyperlink r:id="rId8" w:history="1">
        <w:r w:rsidRPr="002E3B79">
          <w:rPr>
            <w:rStyle w:val="Hyperlink"/>
            <w:rFonts w:ascii="Trebuchet MS" w:eastAsia="Aptos" w:hAnsi="Trebuchet MS" w:cs="Aptos"/>
            <w:kern w:val="0"/>
            <w:lang w:val="en-GB"/>
            <w14:ligatures w14:val="none"/>
          </w:rPr>
          <w:t>bronwen@catchwords.co.za</w:t>
        </w:r>
      </w:hyperlink>
      <w:r>
        <w:rPr>
          <w:rFonts w:ascii="Trebuchet MS" w:eastAsia="Aptos" w:hAnsi="Trebuchet MS" w:cs="Aptos"/>
          <w:color w:val="000000"/>
          <w:kern w:val="0"/>
          <w:lang w:val="en-GB"/>
          <w14:ligatures w14:val="none"/>
        </w:rPr>
        <w:t xml:space="preserve"> </w:t>
      </w:r>
    </w:p>
    <w:p w14:paraId="1D9DA94B" w14:textId="77777777" w:rsidR="003F02D4" w:rsidRPr="003F02D4" w:rsidRDefault="003F02D4" w:rsidP="003F02D4">
      <w:pPr>
        <w:spacing w:after="60" w:line="240" w:lineRule="auto"/>
        <w:rPr>
          <w:rFonts w:ascii="Trebuchet MS" w:eastAsia="Aptos" w:hAnsi="Trebuchet MS" w:cs="Aptos"/>
          <w:color w:val="000000"/>
          <w:kern w:val="0"/>
          <w:lang w:val="en-GB"/>
          <w14:ligatures w14:val="none"/>
        </w:rPr>
      </w:pPr>
    </w:p>
    <w:p w14:paraId="31D6AFC2" w14:textId="2D1A203C" w:rsidR="003F02D4" w:rsidRDefault="003F02D4" w:rsidP="003F02D4">
      <w:pPr>
        <w:spacing w:after="0"/>
        <w:rPr>
          <w:rFonts w:ascii="Trebuchet MS" w:hAnsi="Trebuchet MS"/>
          <w:b/>
          <w:bCs/>
        </w:rPr>
      </w:pPr>
    </w:p>
    <w:p w14:paraId="7D6BC7C9" w14:textId="77777777" w:rsidR="003F02D4" w:rsidRPr="002D616B" w:rsidRDefault="003F02D4" w:rsidP="003F02D4">
      <w:pPr>
        <w:spacing w:after="0"/>
        <w:rPr>
          <w:rFonts w:ascii="Trebuchet MS" w:hAnsi="Trebuchet MS"/>
          <w:b/>
          <w:bCs/>
        </w:rPr>
      </w:pPr>
    </w:p>
    <w:sectPr w:rsidR="003F02D4" w:rsidRPr="002D61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C2C"/>
    <w:rsid w:val="00155F4F"/>
    <w:rsid w:val="001D4C2C"/>
    <w:rsid w:val="002D616B"/>
    <w:rsid w:val="002E1987"/>
    <w:rsid w:val="003576B6"/>
    <w:rsid w:val="003606FD"/>
    <w:rsid w:val="003F02D4"/>
    <w:rsid w:val="004A340A"/>
    <w:rsid w:val="004F095D"/>
    <w:rsid w:val="005D211D"/>
    <w:rsid w:val="00605402"/>
    <w:rsid w:val="006F6971"/>
    <w:rsid w:val="0073030A"/>
    <w:rsid w:val="008F42CF"/>
    <w:rsid w:val="0097760F"/>
    <w:rsid w:val="00986B0A"/>
    <w:rsid w:val="00AA7827"/>
    <w:rsid w:val="00B333FB"/>
    <w:rsid w:val="00B7097A"/>
    <w:rsid w:val="00BA0E27"/>
    <w:rsid w:val="00C072D1"/>
    <w:rsid w:val="00C34088"/>
    <w:rsid w:val="00C45001"/>
    <w:rsid w:val="00D028EA"/>
    <w:rsid w:val="00D564CC"/>
    <w:rsid w:val="00E11196"/>
    <w:rsid w:val="00E4651D"/>
    <w:rsid w:val="00EC1B93"/>
    <w:rsid w:val="00FF6FB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7CFA2"/>
  <w15:chartTrackingRefBased/>
  <w15:docId w15:val="{7031B449-8818-42E0-89D8-156E5A615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C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C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C2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C2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D4C2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D4C2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D4C2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D4C2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D4C2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C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C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C2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C2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D4C2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D4C2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D4C2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D4C2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D4C2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D4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C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C2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C2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D4C2C"/>
    <w:pPr>
      <w:spacing w:before="160"/>
      <w:jc w:val="center"/>
    </w:pPr>
    <w:rPr>
      <w:i/>
      <w:iCs/>
      <w:color w:val="404040" w:themeColor="text1" w:themeTint="BF"/>
    </w:rPr>
  </w:style>
  <w:style w:type="character" w:customStyle="1" w:styleId="QuoteChar">
    <w:name w:val="Quote Char"/>
    <w:basedOn w:val="DefaultParagraphFont"/>
    <w:link w:val="Quote"/>
    <w:uiPriority w:val="29"/>
    <w:rsid w:val="001D4C2C"/>
    <w:rPr>
      <w:i/>
      <w:iCs/>
      <w:color w:val="404040" w:themeColor="text1" w:themeTint="BF"/>
    </w:rPr>
  </w:style>
  <w:style w:type="paragraph" w:styleId="ListParagraph">
    <w:name w:val="List Paragraph"/>
    <w:basedOn w:val="Normal"/>
    <w:uiPriority w:val="34"/>
    <w:qFormat/>
    <w:rsid w:val="001D4C2C"/>
    <w:pPr>
      <w:ind w:left="720"/>
      <w:contextualSpacing/>
    </w:pPr>
  </w:style>
  <w:style w:type="character" w:styleId="IntenseEmphasis">
    <w:name w:val="Intense Emphasis"/>
    <w:basedOn w:val="DefaultParagraphFont"/>
    <w:uiPriority w:val="21"/>
    <w:qFormat/>
    <w:rsid w:val="001D4C2C"/>
    <w:rPr>
      <w:i/>
      <w:iCs/>
      <w:color w:val="0F4761" w:themeColor="accent1" w:themeShade="BF"/>
    </w:rPr>
  </w:style>
  <w:style w:type="paragraph" w:styleId="IntenseQuote">
    <w:name w:val="Intense Quote"/>
    <w:basedOn w:val="Normal"/>
    <w:next w:val="Normal"/>
    <w:link w:val="IntenseQuoteChar"/>
    <w:uiPriority w:val="30"/>
    <w:qFormat/>
    <w:rsid w:val="001D4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C2C"/>
    <w:rPr>
      <w:i/>
      <w:iCs/>
      <w:color w:val="0F4761" w:themeColor="accent1" w:themeShade="BF"/>
    </w:rPr>
  </w:style>
  <w:style w:type="character" w:styleId="IntenseReference">
    <w:name w:val="Intense Reference"/>
    <w:basedOn w:val="DefaultParagraphFont"/>
    <w:uiPriority w:val="32"/>
    <w:qFormat/>
    <w:rsid w:val="001D4C2C"/>
    <w:rPr>
      <w:b/>
      <w:bCs/>
      <w:smallCaps/>
      <w:color w:val="0F4761" w:themeColor="accent1" w:themeShade="BF"/>
      <w:spacing w:val="5"/>
    </w:rPr>
  </w:style>
  <w:style w:type="character" w:styleId="Hyperlink">
    <w:name w:val="Hyperlink"/>
    <w:basedOn w:val="DefaultParagraphFont"/>
    <w:uiPriority w:val="99"/>
    <w:unhideWhenUsed/>
    <w:rsid w:val="003F02D4"/>
    <w:rPr>
      <w:color w:val="467886" w:themeColor="hyperlink"/>
      <w:u w:val="single"/>
    </w:rPr>
  </w:style>
  <w:style w:type="character" w:styleId="UnresolvedMention">
    <w:name w:val="Unresolved Mention"/>
    <w:basedOn w:val="DefaultParagraphFont"/>
    <w:uiPriority w:val="99"/>
    <w:semiHidden/>
    <w:unhideWhenUsed/>
    <w:rsid w:val="003F0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onwen@catchwords.co.za" TargetMode="External"/><Relationship Id="rId3" Type="http://schemas.openxmlformats.org/officeDocument/2006/relationships/webSettings" Target="webSettings.xml"/><Relationship Id="rId7" Type="http://schemas.openxmlformats.org/officeDocument/2006/relationships/hyperlink" Target="mailto:maryann@maryannshawcommunications.co.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bcsa.org.za/" TargetMode="External"/><Relationship Id="rId5" Type="http://schemas.openxmlformats.org/officeDocument/2006/relationships/hyperlink" Target="http://www.msci.com" TargetMode="External"/><Relationship Id="rId10" Type="http://schemas.openxmlformats.org/officeDocument/2006/relationships/theme" Target="theme/theme1.xml"/><Relationship Id="rId4" Type="http://schemas.openxmlformats.org/officeDocument/2006/relationships/hyperlink" Target="http://www.growthpoint.co.z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1514</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Catchwords</dc:creator>
  <cp:keywords/>
  <dc:description/>
  <cp:lastModifiedBy>Angie</cp:lastModifiedBy>
  <cp:revision>2</cp:revision>
  <dcterms:created xsi:type="dcterms:W3CDTF">2026-06-10T10:09:00Z</dcterms:created>
  <dcterms:modified xsi:type="dcterms:W3CDTF">2026-06-10T10:09:00Z</dcterms:modified>
</cp:coreProperties>
</file>