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7ED8" w14:textId="71A73D38" w:rsidR="00E968E6" w:rsidRPr="00ED3B60" w:rsidRDefault="00A212C7" w:rsidP="00E968E6">
      <w:pPr>
        <w:spacing w:line="240" w:lineRule="auto"/>
        <w:rPr>
          <w:rFonts w:cs="Open Sans"/>
          <w:b/>
          <w:bCs/>
          <w:sz w:val="22"/>
          <w:lang w:val="en-GB"/>
        </w:rPr>
      </w:pPr>
      <w:r w:rsidRPr="00ED3B60">
        <w:rPr>
          <w:rFonts w:cs="Open Sans"/>
          <w:b/>
          <w:bCs/>
          <w:sz w:val="22"/>
          <w:lang w:val="en-GB"/>
        </w:rPr>
        <w:t xml:space="preserve">Media release for </w:t>
      </w:r>
      <w:r w:rsidR="00E968E6" w:rsidRPr="00ED3B60">
        <w:rPr>
          <w:rFonts w:cs="Open Sans"/>
          <w:b/>
          <w:bCs/>
          <w:sz w:val="22"/>
          <w:lang w:val="en-GB"/>
        </w:rPr>
        <w:t>Vukile Property Fund</w:t>
      </w:r>
    </w:p>
    <w:p w14:paraId="35A6B2C5" w14:textId="672F89D0" w:rsidR="00A5065A" w:rsidRPr="00ED3B60" w:rsidRDefault="00A212C7" w:rsidP="00E968E6">
      <w:pPr>
        <w:spacing w:line="240" w:lineRule="auto"/>
        <w:rPr>
          <w:rFonts w:cs="Open Sans"/>
          <w:b/>
          <w:bCs/>
          <w:sz w:val="22"/>
          <w:lang w:val="en-GB"/>
        </w:rPr>
      </w:pPr>
      <w:r w:rsidRPr="00ED3B60">
        <w:rPr>
          <w:rFonts w:cs="Open Sans"/>
          <w:b/>
          <w:bCs/>
          <w:sz w:val="22"/>
          <w:lang w:val="en-GB"/>
        </w:rPr>
        <w:t>9 February 2026</w:t>
      </w:r>
    </w:p>
    <w:p w14:paraId="40CFD94B" w14:textId="77777777" w:rsidR="00E968E6" w:rsidRPr="00A5065A" w:rsidRDefault="00E968E6" w:rsidP="00E968E6">
      <w:pPr>
        <w:spacing w:line="240" w:lineRule="auto"/>
        <w:rPr>
          <w:rFonts w:asciiTheme="majorHAnsi" w:hAnsiTheme="majorHAnsi" w:cs="Open Sans"/>
          <w:b/>
          <w:bCs/>
          <w:sz w:val="22"/>
          <w:lang w:val="en-GB"/>
        </w:rPr>
      </w:pPr>
      <w:r w:rsidRPr="00A5065A">
        <w:rPr>
          <w:rFonts w:asciiTheme="majorHAnsi" w:hAnsiTheme="majorHAnsi" w:cs="Open Sans"/>
          <w:b/>
          <w:bCs/>
          <w:sz w:val="22"/>
          <w:lang w:val="en-GB"/>
        </w:rPr>
        <w:t>FESTIVE SEASON TRADING (November &amp; December 2025)</w:t>
      </w:r>
    </w:p>
    <w:p w14:paraId="00CFEE43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Vukile's South African and Iberian retail property portfolios recorded strong performance in November and December 2025, reflecting a successful Black Friday and holiday trading period.</w:t>
      </w:r>
    </w:p>
    <w:p w14:paraId="43F435EA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2"/>
          <w:lang w:val="en-GB"/>
        </w:rPr>
      </w:pPr>
      <w:r w:rsidRPr="00ED3B60">
        <w:rPr>
          <w:rFonts w:cs="Open Sans"/>
          <w:b/>
          <w:bCs/>
          <w:sz w:val="22"/>
          <w:lang w:val="en-GB"/>
        </w:rPr>
        <w:t>SOUTH AFRICAN PORTFOLIO</w:t>
      </w:r>
    </w:p>
    <w:p w14:paraId="0AC526FB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 xml:space="preserve">Positive trading performance through November and December 2025 have reinforced the portfolio’s sustainable growth and consistent value creation. </w:t>
      </w:r>
    </w:p>
    <w:p w14:paraId="48752960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Turnover</w:t>
      </w:r>
    </w:p>
    <w:p w14:paraId="51C11892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November sales reflected continued growth, increasing by 2.4% relative to the prior year, growing off a high base (+10.0% in November 2024 vs November 2023). In December, the portfolio achieved significant growth, up by 4.5% in trading density, demonstrating positive festive trading performance over the period.</w:t>
      </w:r>
    </w:p>
    <w:p w14:paraId="77D88AED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All four key segments of the portfolio showed strong growth over the festive season.  Commuter centres outperformed, achieving an 11.1% increase in trading density. Value centres performed strongly with 8.0% growth, while township and rural centres, which together contribute roughly 60% of the portfolio’s total turnover, reporting increases of 3.7% and 2.7% respectively (versus 9.6% and 5.9% in December 2024). Urban centres delivered a 3.7% uplift.</w:t>
      </w:r>
    </w:p>
    <w:p w14:paraId="4956A9E5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Retail categories with the most significant turnover growth in December were women’s wear and footwear (+12.7%), fast food (+12.5%), cell phones (+9.9%), electronics (+8.7%), sports utilities/gyms and health &amp; beauty (+7.9%), groceries (+4.9%), unisex wear (+3.3%), home furnishings (+3.8%), and sporting &amp; outdoor goods (+1.7%). These increases demonstrate sustained momentum across both essential and discretionary retail.</w:t>
      </w:r>
    </w:p>
    <w:p w14:paraId="1CC0A384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In addition, Vukile’s recently acquired Chatsworth Centre reported a commendable performance, delivering 5.6% growth in December and 10.5% growth in November over the same months in the previous year, driven by strong Black Friday trading.</w:t>
      </w:r>
    </w:p>
    <w:p w14:paraId="254DB2F5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Footfall</w:t>
      </w:r>
    </w:p>
    <w:p w14:paraId="30D716BB" w14:textId="77777777" w:rsidR="00E968E6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November 2025 footfall remained stable while December 2025 footfall increased by 3.0% compared to December 2024. Commuter centres once again delivered standout performance, recording 10.4% growth in foot count.</w:t>
      </w:r>
    </w:p>
    <w:p w14:paraId="7A806BCA" w14:textId="77777777" w:rsidR="00ED3B60" w:rsidRDefault="00ED3B60" w:rsidP="00E968E6">
      <w:pPr>
        <w:spacing w:line="240" w:lineRule="auto"/>
        <w:rPr>
          <w:rFonts w:cs="Open Sans"/>
          <w:sz w:val="20"/>
          <w:szCs w:val="20"/>
          <w:lang w:val="en-GB"/>
        </w:rPr>
      </w:pPr>
    </w:p>
    <w:p w14:paraId="3A67CF2B" w14:textId="77777777" w:rsidR="00ED3B60" w:rsidRPr="00ED3B60" w:rsidRDefault="00ED3B60" w:rsidP="00E968E6">
      <w:pPr>
        <w:spacing w:line="240" w:lineRule="auto"/>
        <w:rPr>
          <w:rFonts w:cs="Open Sans"/>
          <w:sz w:val="20"/>
          <w:szCs w:val="20"/>
          <w:lang w:val="en-GB"/>
        </w:rPr>
      </w:pPr>
    </w:p>
    <w:p w14:paraId="468FC07A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2"/>
          <w:lang w:val="en-GB"/>
        </w:rPr>
      </w:pPr>
      <w:r w:rsidRPr="00ED3B60">
        <w:rPr>
          <w:rFonts w:cs="Open Sans"/>
          <w:b/>
          <w:bCs/>
          <w:sz w:val="22"/>
          <w:lang w:val="en-GB"/>
        </w:rPr>
        <w:lastRenderedPageBreak/>
        <w:t>IBERIAN PORTFOLIO (Castellana Properties)</w:t>
      </w:r>
    </w:p>
    <w:p w14:paraId="13D7D92C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 xml:space="preserve">The Iberian portfolio also achieved robust performance in trading activity during November and December 2025. </w:t>
      </w:r>
    </w:p>
    <w:p w14:paraId="5AB32016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Spain</w:t>
      </w:r>
    </w:p>
    <w:p w14:paraId="24E2C130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Turnover</w:t>
      </w:r>
    </w:p>
    <w:p w14:paraId="2A1A1612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 xml:space="preserve">Sales increased by 7.3% in November 2025 compared to November 2024, with almost all retail segments achieving growth. Top-performing categories included fashion (+12.7%), health &amp; beauty (+7.0%) and homeware (+6.5%). </w:t>
      </w:r>
    </w:p>
    <w:p w14:paraId="773D1430" w14:textId="734061FC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December sales rose by 3.2%, with homeware leading (+10.3%), followed by health &amp; beauty (+3.9%) and food (+3.6%).</w:t>
      </w:r>
    </w:p>
    <w:p w14:paraId="7D3C5BB6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Footfall</w:t>
      </w:r>
    </w:p>
    <w:p w14:paraId="0F975313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 xml:space="preserve">Shopper visits in Spain increased slightly by 0.9% in November 2025 compared to the previous November, with an 8.6% rise during Black Friday week. On Black Friday itself, Castellana's Spanish shopping centres saw a noteworthy 13.1% boost in visits.  </w:t>
      </w:r>
      <w:r w:rsidRPr="00ED3B60">
        <w:rPr>
          <w:rFonts w:cs="Open Sans"/>
          <w:sz w:val="20"/>
          <w:szCs w:val="20"/>
        </w:rPr>
        <w:t>Excluding Bonaire, which continues its recovery from the flooding event last year, the Spanish portfolio increased by 4% in November.</w:t>
      </w:r>
    </w:p>
    <w:p w14:paraId="3B5AC06B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 xml:space="preserve">December 2025 footfall in the Spanish portfolio decreased slightly by 0.4%. However, when considering the full Christmas period (measured from 1 December 2025 to 6 January 2026), footfall increased by 2.0%. Excluding Bonaire, the Spanish portfolio increased by 4.3% in December. </w:t>
      </w:r>
    </w:p>
    <w:p w14:paraId="23948B69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Portugal</w:t>
      </w:r>
    </w:p>
    <w:p w14:paraId="14B4FA03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Turnover</w:t>
      </w:r>
    </w:p>
    <w:p w14:paraId="7DE807C6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November 2025 sales in Portugal increased by 9.5% year-on-year, with almost all categories showing improvement. Top performing categories feature Sports &amp; Adventure (+18.6%), Fashion (+14.1%) and Food &amp; Beverage (+11.6%).</w:t>
      </w:r>
    </w:p>
    <w:p w14:paraId="497F2A18" w14:textId="77777777" w:rsidR="00E968E6" w:rsidRPr="00ED3B60" w:rsidRDefault="00E968E6" w:rsidP="00E968E6">
      <w:pPr>
        <w:spacing w:line="240" w:lineRule="auto"/>
        <w:rPr>
          <w:rFonts w:cs="Open Sans"/>
          <w:sz w:val="20"/>
          <w:szCs w:val="20"/>
          <w:lang w:val="en-GB"/>
        </w:rPr>
      </w:pPr>
      <w:r w:rsidRPr="00ED3B60">
        <w:rPr>
          <w:rFonts w:cs="Open Sans"/>
          <w:sz w:val="20"/>
          <w:szCs w:val="20"/>
          <w:lang w:val="en-GB"/>
        </w:rPr>
        <w:t>December sales grew by 1.5%.</w:t>
      </w:r>
      <w:r w:rsidRPr="00ED3B60">
        <w:rPr>
          <w:sz w:val="20"/>
          <w:szCs w:val="20"/>
        </w:rPr>
        <w:t xml:space="preserve"> </w:t>
      </w:r>
      <w:r w:rsidRPr="00ED3B60">
        <w:rPr>
          <w:rFonts w:cs="Open Sans"/>
          <w:sz w:val="20"/>
          <w:szCs w:val="20"/>
          <w:lang w:val="en-GB"/>
        </w:rPr>
        <w:t xml:space="preserve">Food &amp; beverage was the top performer (+6.0%), followed by </w:t>
      </w:r>
      <w:r w:rsidRPr="00ED3B60">
        <w:rPr>
          <w:rFonts w:cs="Open Sans"/>
          <w:sz w:val="20"/>
          <w:szCs w:val="20"/>
        </w:rPr>
        <w:t xml:space="preserve">health &amp; beauty (+4.2%) and leisure &amp; entertainment (+2.9%). </w:t>
      </w:r>
    </w:p>
    <w:p w14:paraId="2E7EBB9A" w14:textId="77777777" w:rsidR="00E968E6" w:rsidRPr="00ED3B60" w:rsidRDefault="00E968E6" w:rsidP="00E968E6">
      <w:pPr>
        <w:spacing w:line="240" w:lineRule="auto"/>
        <w:rPr>
          <w:rFonts w:cs="Open Sans"/>
          <w:b/>
          <w:bCs/>
          <w:sz w:val="20"/>
          <w:szCs w:val="20"/>
          <w:lang w:val="en-GB"/>
        </w:rPr>
      </w:pPr>
      <w:r w:rsidRPr="00ED3B60">
        <w:rPr>
          <w:rFonts w:cs="Open Sans"/>
          <w:b/>
          <w:bCs/>
          <w:sz w:val="20"/>
          <w:szCs w:val="20"/>
          <w:lang w:val="en-GB"/>
        </w:rPr>
        <w:t>Footfall</w:t>
      </w:r>
    </w:p>
    <w:p w14:paraId="4EEFD777" w14:textId="77777777" w:rsidR="00E968E6" w:rsidRDefault="00E968E6" w:rsidP="00E968E6">
      <w:pPr>
        <w:spacing w:line="240" w:lineRule="auto"/>
        <w:rPr>
          <w:rFonts w:cs="Open Sans"/>
          <w:sz w:val="20"/>
          <w:szCs w:val="20"/>
        </w:rPr>
      </w:pPr>
      <w:r w:rsidRPr="00ED3B60">
        <w:rPr>
          <w:rFonts w:cs="Open Sans"/>
          <w:sz w:val="20"/>
          <w:szCs w:val="20"/>
        </w:rPr>
        <w:t xml:space="preserve">In Portugal, footfall increased by 5.3% in November 2025 compared to the previous year and by 0.2% over Black Friday week, though Black Friday itself saw a slight decline of 1.8%. In December 2025, footfall in the Portuguese portfolio mirrored the Spanish trend, declining by 0.4% compared to December 2024. However, excluding </w:t>
      </w:r>
      <w:proofErr w:type="spellStart"/>
      <w:r w:rsidRPr="00ED3B60">
        <w:rPr>
          <w:rFonts w:cs="Open Sans"/>
          <w:sz w:val="20"/>
          <w:szCs w:val="20"/>
        </w:rPr>
        <w:t>Alegro</w:t>
      </w:r>
      <w:proofErr w:type="spellEnd"/>
      <w:r w:rsidRPr="00ED3B60">
        <w:rPr>
          <w:rFonts w:cs="Open Sans"/>
          <w:sz w:val="20"/>
          <w:szCs w:val="20"/>
        </w:rPr>
        <w:t xml:space="preserve"> Sintra — the only Portuguese asset not managed by Castellana Properties — the portfolio would have achieved a 0.7% increase.</w:t>
      </w:r>
    </w:p>
    <w:p w14:paraId="3E88E730" w14:textId="265640BD" w:rsidR="00ED3B60" w:rsidRPr="00ED3B60" w:rsidRDefault="00ED3B60" w:rsidP="00ED3B60">
      <w:pPr>
        <w:spacing w:line="240" w:lineRule="auto"/>
        <w:jc w:val="center"/>
        <w:rPr>
          <w:rFonts w:cs="Open Sans"/>
          <w:sz w:val="20"/>
          <w:szCs w:val="20"/>
        </w:rPr>
      </w:pPr>
      <w:r>
        <w:rPr>
          <w:rFonts w:cs="Open Sans"/>
          <w:sz w:val="20"/>
          <w:szCs w:val="20"/>
        </w:rPr>
        <w:t>ENDS/</w:t>
      </w:r>
    </w:p>
    <w:p w14:paraId="66CD7BB2" w14:textId="32F0B9A1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  <w:u w:val="single"/>
        </w:rPr>
      </w:pPr>
      <w:r w:rsidRPr="00ED3B60">
        <w:rPr>
          <w:rFonts w:cs="Calibri"/>
          <w:color w:val="3B4F4F" w:themeColor="text1" w:themeTint="BF"/>
          <w:sz w:val="20"/>
          <w:szCs w:val="20"/>
          <w:u w:val="single"/>
        </w:rPr>
        <w:t xml:space="preserve">Released by </w:t>
      </w:r>
      <w:proofErr w:type="spellStart"/>
      <w:r w:rsidRPr="00ED3B60">
        <w:rPr>
          <w:rFonts w:cs="Calibri"/>
          <w:color w:val="3B4F4F" w:themeColor="text1" w:themeTint="BF"/>
          <w:sz w:val="20"/>
          <w:szCs w:val="20"/>
          <w:u w:val="single"/>
        </w:rPr>
        <w:t>Dmix</w:t>
      </w:r>
      <w:proofErr w:type="spellEnd"/>
      <w:r w:rsidRPr="00ED3B60">
        <w:rPr>
          <w:rFonts w:cs="Calibri"/>
          <w:color w:val="3B4F4F" w:themeColor="text1" w:themeTint="BF"/>
          <w:sz w:val="20"/>
          <w:szCs w:val="20"/>
          <w:u w:val="single"/>
        </w:rPr>
        <w:t xml:space="preserve"> on behalf of:</w:t>
      </w:r>
    </w:p>
    <w:p w14:paraId="740F5C77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 xml:space="preserve">Vukile Property Fund </w:t>
      </w:r>
    </w:p>
    <w:p w14:paraId="0C5B244A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>Laurence Rapp, CEO</w:t>
      </w:r>
    </w:p>
    <w:p w14:paraId="1F8BE375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>Tel: 011 288 1032</w:t>
      </w:r>
    </w:p>
    <w:p w14:paraId="54A1B84C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 xml:space="preserve">Website: </w:t>
      </w:r>
      <w:hyperlink r:id="rId10" w:history="1">
        <w:r w:rsidRPr="00ED3B60">
          <w:rPr>
            <w:rStyle w:val="Hyperlink"/>
            <w:rFonts w:cs="Calibri"/>
            <w:color w:val="3B4F4F" w:themeColor="text1" w:themeTint="BF"/>
            <w:sz w:val="20"/>
            <w:szCs w:val="20"/>
            <w:lang w:eastAsia="en-GB"/>
          </w:rPr>
          <w:t>www.vukile.co.za</w:t>
        </w:r>
      </w:hyperlink>
    </w:p>
    <w:p w14:paraId="5B282FAC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 xml:space="preserve">Twitter: </w:t>
      </w:r>
      <w:hyperlink r:id="rId11" w:history="1">
        <w:r w:rsidRPr="00ED3B60">
          <w:rPr>
            <w:rStyle w:val="Hyperlink"/>
            <w:rFonts w:cs="Calibri"/>
            <w:color w:val="3B4F4F" w:themeColor="text1" w:themeTint="BF"/>
            <w:sz w:val="20"/>
            <w:szCs w:val="20"/>
          </w:rPr>
          <w:t>https://twitter.com/VukilePropFund</w:t>
        </w:r>
      </w:hyperlink>
    </w:p>
    <w:p w14:paraId="2FB9C130" w14:textId="77777777" w:rsidR="00637AE4" w:rsidRPr="00ED3B60" w:rsidRDefault="00637AE4" w:rsidP="00637AE4">
      <w:pPr>
        <w:spacing w:after="0" w:line="240" w:lineRule="auto"/>
        <w:rPr>
          <w:rFonts w:cs="Calibri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 xml:space="preserve">Facebook: </w:t>
      </w:r>
      <w:hyperlink r:id="rId12" w:history="1">
        <w:r w:rsidRPr="00ED3B60">
          <w:rPr>
            <w:rStyle w:val="Hyperlink"/>
            <w:rFonts w:cs="Calibri"/>
            <w:color w:val="3B4F4F" w:themeColor="text1" w:themeTint="BF"/>
            <w:sz w:val="20"/>
            <w:szCs w:val="20"/>
          </w:rPr>
          <w:t>https://www.facebook.com/vukilepropertyfund</w:t>
        </w:r>
      </w:hyperlink>
      <w:r w:rsidRPr="00ED3B60">
        <w:rPr>
          <w:rFonts w:cs="Calibri"/>
          <w:color w:val="3B4F4F" w:themeColor="text1" w:themeTint="BF"/>
          <w:sz w:val="20"/>
          <w:szCs w:val="20"/>
        </w:rPr>
        <w:t xml:space="preserve"> </w:t>
      </w:r>
    </w:p>
    <w:p w14:paraId="7BD24D69" w14:textId="05277ED7" w:rsidR="00637AE4" w:rsidRPr="00ED3B60" w:rsidRDefault="00637AE4" w:rsidP="00855416">
      <w:pPr>
        <w:spacing w:after="0" w:line="240" w:lineRule="auto"/>
        <w:rPr>
          <w:rFonts w:cs="Open Sans"/>
          <w:color w:val="3B4F4F" w:themeColor="text1" w:themeTint="BF"/>
          <w:sz w:val="20"/>
          <w:szCs w:val="20"/>
        </w:rPr>
      </w:pPr>
      <w:r w:rsidRPr="00ED3B60">
        <w:rPr>
          <w:rFonts w:cs="Calibri"/>
          <w:color w:val="3B4F4F" w:themeColor="text1" w:themeTint="BF"/>
          <w:sz w:val="20"/>
          <w:szCs w:val="20"/>
        </w:rPr>
        <w:t xml:space="preserve">LinkedIn: </w:t>
      </w:r>
      <w:hyperlink r:id="rId13" w:history="1">
        <w:r w:rsidRPr="00ED3B60">
          <w:rPr>
            <w:rStyle w:val="Hyperlink"/>
            <w:rFonts w:cs="Calibri"/>
            <w:color w:val="3B4F4F" w:themeColor="text1" w:themeTint="BF"/>
            <w:sz w:val="20"/>
            <w:szCs w:val="20"/>
          </w:rPr>
          <w:t>https://www.linkedin.com/company/vukile-property-fund/</w:t>
        </w:r>
      </w:hyperlink>
    </w:p>
    <w:sectPr w:rsidR="00637AE4" w:rsidRPr="00ED3B60" w:rsidSect="000509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8A681" w14:textId="77777777" w:rsidR="00FE5EED" w:rsidRDefault="00FE5EED" w:rsidP="00D93F4A">
      <w:pPr>
        <w:spacing w:after="0" w:line="240" w:lineRule="auto"/>
      </w:pPr>
      <w:r>
        <w:separator/>
      </w:r>
    </w:p>
  </w:endnote>
  <w:endnote w:type="continuationSeparator" w:id="0">
    <w:p w14:paraId="6D1CEFE4" w14:textId="77777777" w:rsidR="00FE5EED" w:rsidRDefault="00FE5EED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711FA4A5-7157-47F9-8528-0445AF1C953F}"/>
    <w:embedBold r:id="rId2" w:fontKey="{9CC6CCB9-C130-47DB-9909-90CBBA6E3B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D51CB09-3FF1-494C-AEAB-56E5C5187E10}"/>
    <w:embedBold r:id="rId4" w:fontKey="{E5BFA682-C36C-4742-9761-B76032AB52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A95F088A-AECB-45E3-82EF-54D863A3A07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2B02CE4-EA19-4609-B5CF-AC5E2FCA771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9C32E81F-1057-42D1-872C-72E862C075DA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8" w:fontKey="{0AF8EA73-6695-4035-9F3F-4E327D83EB9F}"/>
    <w:embedBold r:id="rId9" w:fontKey="{8200A48B-EFB6-4629-9ACC-07C68183D3E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0" w:fontKey="{643ED54C-BAA0-4C72-B606-C280248B4B30}"/>
    <w:embedBold r:id="rId11" w:fontKey="{FC7FE06F-7D6F-4E8F-8981-CF67484E9F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78A84F8B-86A9-4B5D-8BD1-B4D5030FFC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810A" w14:textId="77777777" w:rsidR="00EF2F18" w:rsidRDefault="00EF2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Vukile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0A6B8188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</w:t>
    </w:r>
    <w:r w:rsidR="00CA3F4C">
      <w:rPr>
        <w:rFonts w:asciiTheme="majorHAnsi" w:hAnsiTheme="majorHAnsi" w:cs="Times New Roman"/>
        <w:color w:val="003333"/>
        <w:kern w:val="0"/>
        <w:sz w:val="16"/>
        <w:szCs w:val="16"/>
      </w:rPr>
      <w:t>,</w:t>
    </w: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 xml:space="preserve">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3E8FD3E3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5295" w14:textId="77777777" w:rsidR="00FE5EED" w:rsidRDefault="00FE5EED" w:rsidP="00D93F4A">
      <w:pPr>
        <w:spacing w:after="0" w:line="240" w:lineRule="auto"/>
      </w:pPr>
      <w:r>
        <w:separator/>
      </w:r>
    </w:p>
  </w:footnote>
  <w:footnote w:type="continuationSeparator" w:id="0">
    <w:p w14:paraId="0FAFFC16" w14:textId="77777777" w:rsidR="00FE5EED" w:rsidRDefault="00FE5EED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CD6" w14:textId="77777777" w:rsidR="00EF2F18" w:rsidRDefault="00EF2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1" behindDoc="1" locked="0" layoutInCell="1" allowOverlap="1" wp14:anchorId="4D1D627C" wp14:editId="2311F030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86608381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3BB1AE16">
          <wp:simplePos x="0" y="0"/>
          <wp:positionH relativeFrom="column">
            <wp:posOffset>-730481</wp:posOffset>
          </wp:positionH>
          <wp:positionV relativeFrom="paragraph">
            <wp:posOffset>-450215</wp:posOffset>
          </wp:positionV>
          <wp:extent cx="7559999" cy="10687961"/>
          <wp:effectExtent l="0" t="0" r="0" b="5715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028AA"/>
    <w:rsid w:val="00022262"/>
    <w:rsid w:val="0005098A"/>
    <w:rsid w:val="00084716"/>
    <w:rsid w:val="00096D44"/>
    <w:rsid w:val="000D1EEE"/>
    <w:rsid w:val="00155609"/>
    <w:rsid w:val="00180620"/>
    <w:rsid w:val="001B1FBA"/>
    <w:rsid w:val="001E5A82"/>
    <w:rsid w:val="001F4365"/>
    <w:rsid w:val="00200543"/>
    <w:rsid w:val="00215E4A"/>
    <w:rsid w:val="002660E8"/>
    <w:rsid w:val="002E5872"/>
    <w:rsid w:val="00314738"/>
    <w:rsid w:val="00382834"/>
    <w:rsid w:val="0047547B"/>
    <w:rsid w:val="004757FB"/>
    <w:rsid w:val="004913FE"/>
    <w:rsid w:val="00493100"/>
    <w:rsid w:val="00523C9F"/>
    <w:rsid w:val="00533AD1"/>
    <w:rsid w:val="0053482C"/>
    <w:rsid w:val="00566AAB"/>
    <w:rsid w:val="0058497F"/>
    <w:rsid w:val="0058634E"/>
    <w:rsid w:val="005902F6"/>
    <w:rsid w:val="005E7F0D"/>
    <w:rsid w:val="00637AE4"/>
    <w:rsid w:val="006755BE"/>
    <w:rsid w:val="006904B7"/>
    <w:rsid w:val="00692280"/>
    <w:rsid w:val="007009DC"/>
    <w:rsid w:val="00703534"/>
    <w:rsid w:val="00770169"/>
    <w:rsid w:val="007A038A"/>
    <w:rsid w:val="007A6091"/>
    <w:rsid w:val="007B0D34"/>
    <w:rsid w:val="008221EC"/>
    <w:rsid w:val="00855416"/>
    <w:rsid w:val="00866FE9"/>
    <w:rsid w:val="008F4E6E"/>
    <w:rsid w:val="0097598B"/>
    <w:rsid w:val="00985D78"/>
    <w:rsid w:val="009C77B5"/>
    <w:rsid w:val="009D1501"/>
    <w:rsid w:val="009D30E9"/>
    <w:rsid w:val="009F0A3D"/>
    <w:rsid w:val="00A17531"/>
    <w:rsid w:val="00A212C7"/>
    <w:rsid w:val="00A5065A"/>
    <w:rsid w:val="00AD6AFE"/>
    <w:rsid w:val="00C64CA5"/>
    <w:rsid w:val="00C7016B"/>
    <w:rsid w:val="00C93D3E"/>
    <w:rsid w:val="00CA3F4C"/>
    <w:rsid w:val="00CB5FCD"/>
    <w:rsid w:val="00CC3C10"/>
    <w:rsid w:val="00CC6878"/>
    <w:rsid w:val="00D11C7A"/>
    <w:rsid w:val="00D84E73"/>
    <w:rsid w:val="00D93F4A"/>
    <w:rsid w:val="00DD65FE"/>
    <w:rsid w:val="00DF2E16"/>
    <w:rsid w:val="00E82006"/>
    <w:rsid w:val="00E90BCB"/>
    <w:rsid w:val="00E9312C"/>
    <w:rsid w:val="00E968E6"/>
    <w:rsid w:val="00ED3B60"/>
    <w:rsid w:val="00EF064C"/>
    <w:rsid w:val="00EF2F18"/>
    <w:rsid w:val="00F10641"/>
    <w:rsid w:val="00F2562B"/>
    <w:rsid w:val="00F33759"/>
    <w:rsid w:val="00FA7EFD"/>
    <w:rsid w:val="00FC5E56"/>
    <w:rsid w:val="00FE5EED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character" w:styleId="Hyperlink">
    <w:name w:val="Hyperlink"/>
    <w:basedOn w:val="DefaultParagraphFont"/>
    <w:uiPriority w:val="99"/>
    <w:semiHidden/>
    <w:unhideWhenUsed/>
    <w:rsid w:val="00637AE4"/>
    <w:rPr>
      <w:color w:val="060808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759"/>
    <w:pPr>
      <w:ind w:left="720"/>
      <w:contextualSpacing/>
    </w:pPr>
    <w:rPr>
      <w:color w:val="aut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vukile.co.za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6" ma:contentTypeDescription="Create a new document." ma:contentTypeScope="" ma:versionID="daf934092aead3d5b58d0133d2eee80a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09406f758d9cb5d0d3c1bb5ac1a42605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95F5D-C918-4BAD-8EF2-18D977F279F5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customXml/itemProps2.xml><?xml version="1.0" encoding="utf-8"?>
<ds:datastoreItem xmlns:ds="http://schemas.openxmlformats.org/officeDocument/2006/customXml" ds:itemID="{633CE8D3-5B85-4AFB-9A11-53595BFBD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15FEB-C6C0-4C15-B22C-89EA338BB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2026-02-08T18:40:00Z</dcterms:created>
  <dcterms:modified xsi:type="dcterms:W3CDTF">2026-02-08T18:40:00Z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