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658F" w14:textId="77777777" w:rsidR="0035560D" w:rsidRDefault="0035560D" w:rsidP="0035560D">
      <w:pPr>
        <w:spacing w:after="0"/>
        <w:rPr>
          <w:rFonts w:ascii="Open Sans" w:hAnsi="Open Sans" w:cs="Open Sans"/>
          <w:b/>
          <w:bCs/>
          <w:color w:val="FF0000"/>
          <w:sz w:val="20"/>
          <w:szCs w:val="20"/>
          <w:lang w:val="en-ZA"/>
        </w:rPr>
      </w:pPr>
      <w:r w:rsidRPr="00F22F5E">
        <w:rPr>
          <w:rFonts w:ascii="Open Sans" w:hAnsi="Open Sans" w:cs="Open Sans"/>
          <w:color w:val="060808" w:themeColor="text1"/>
          <w:sz w:val="20"/>
          <w:szCs w:val="20"/>
          <w:lang w:val="en-ZA"/>
        </w:rPr>
        <w:t>31 MARCH 2025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</w:t>
      </w:r>
    </w:p>
    <w:p w14:paraId="3991D426" w14:textId="77777777" w:rsidR="0035560D" w:rsidRPr="00F22F5E" w:rsidRDefault="0035560D" w:rsidP="0035560D">
      <w:pPr>
        <w:spacing w:after="0"/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</w:pPr>
    </w:p>
    <w:p w14:paraId="2A848E4C" w14:textId="77777777" w:rsidR="0035560D" w:rsidRDefault="0035560D" w:rsidP="0035560D">
      <w:pPr>
        <w:spacing w:after="0"/>
        <w:jc w:val="center"/>
        <w:rPr>
          <w:rFonts w:ascii="Open Sans" w:hAnsi="Open Sans" w:cs="Open Sans"/>
          <w:b/>
          <w:bCs/>
          <w:color w:val="060808" w:themeColor="text1"/>
          <w:sz w:val="28"/>
          <w:szCs w:val="28"/>
          <w:lang w:val="en-ZA"/>
        </w:rPr>
      </w:pPr>
      <w:proofErr w:type="spellStart"/>
      <w:r>
        <w:rPr>
          <w:rFonts w:ascii="Open Sans" w:hAnsi="Open Sans" w:cs="Open Sans"/>
          <w:b/>
          <w:bCs/>
          <w:color w:val="060808" w:themeColor="text1"/>
          <w:sz w:val="28"/>
          <w:szCs w:val="28"/>
          <w:lang w:val="en-ZA"/>
        </w:rPr>
        <w:t>Vukile</w:t>
      </w:r>
      <w:proofErr w:type="spellEnd"/>
      <w:r w:rsidRPr="00C27770">
        <w:rPr>
          <w:rFonts w:ascii="Open Sans" w:hAnsi="Open Sans" w:cs="Open Sans"/>
          <w:b/>
          <w:bCs/>
          <w:color w:val="060808" w:themeColor="text1"/>
          <w:sz w:val="28"/>
          <w:szCs w:val="28"/>
          <w:lang w:val="en-ZA"/>
        </w:rPr>
        <w:t xml:space="preserve"> closes a transformative year</w:t>
      </w:r>
    </w:p>
    <w:p w14:paraId="3A53C0F1" w14:textId="77777777" w:rsidR="0035560D" w:rsidRDefault="0035560D" w:rsidP="0035560D">
      <w:pPr>
        <w:spacing w:after="0"/>
        <w:jc w:val="center"/>
        <w:rPr>
          <w:rFonts w:ascii="Open Sans" w:hAnsi="Open Sans" w:cs="Open Sans"/>
          <w:b/>
          <w:bCs/>
          <w:color w:val="060808" w:themeColor="text1"/>
          <w:sz w:val="28"/>
          <w:szCs w:val="28"/>
          <w:lang w:val="en-ZA"/>
        </w:rPr>
      </w:pPr>
      <w:r>
        <w:rPr>
          <w:rFonts w:ascii="Open Sans" w:hAnsi="Open Sans" w:cs="Open Sans"/>
          <w:b/>
          <w:bCs/>
          <w:color w:val="060808" w:themeColor="text1"/>
          <w:sz w:val="28"/>
          <w:szCs w:val="28"/>
          <w:lang w:val="en-ZA"/>
        </w:rPr>
        <w:t xml:space="preserve">and forecasts accelerating growth </w:t>
      </w:r>
    </w:p>
    <w:p w14:paraId="3A1DB465" w14:textId="77777777" w:rsidR="0035560D" w:rsidRPr="00C27770" w:rsidRDefault="0035560D" w:rsidP="0035560D">
      <w:pPr>
        <w:spacing w:after="0"/>
        <w:jc w:val="center"/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</w:pPr>
    </w:p>
    <w:p w14:paraId="209E4E2D" w14:textId="77777777" w:rsidR="0035560D" w:rsidRPr="003A172E" w:rsidRDefault="0035560D" w:rsidP="0035560D">
      <w:pPr>
        <w:spacing w:after="0"/>
        <w:jc w:val="both"/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</w:pPr>
      <w:proofErr w:type="spellStart"/>
      <w:r w:rsidRPr="003A172E"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  <w:t xml:space="preserve"> Property Fund (JSE: VKE), the leading specialist retail real estate investment trust (REIT), delivered a strong pre-close trading update for its financial year ended 31 March 2025, underscoring its dealmaking dexterity, strategic expansion and robust operational delivery. </w:t>
      </w:r>
      <w:proofErr w:type="spellStart"/>
      <w:r w:rsidRPr="003A172E"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  <w:t xml:space="preserve"> confirmed it is on track to meet its full-year guidance of 2% to 4% growth in funds from operations (FFO) per share and 6% growth in dividends per share (DPS).</w:t>
      </w:r>
    </w:p>
    <w:p w14:paraId="7429D2C3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03876872" w14:textId="7B6658E2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Reflecting strong business momentum and high-quality earnings,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also provided preliminary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guidance on FFO and </w:t>
      </w:r>
      <w:r w:rsidR="00E1375D">
        <w:rPr>
          <w:rFonts w:ascii="Open Sans" w:hAnsi="Open Sans" w:cs="Open Sans"/>
          <w:color w:val="060808" w:themeColor="text1"/>
          <w:sz w:val="20"/>
          <w:szCs w:val="20"/>
          <w:lang w:val="en-ZA"/>
        </w:rPr>
        <w:t>d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ividend per share g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rowth for FY26 of at least 6%, based on conservative assumptions and without anticipating any need for new equity capital.</w:t>
      </w:r>
    </w:p>
    <w:p w14:paraId="7CBE9C93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3789B853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The transformative year has been underpinned by strategic execution. Driven by disciplined dealmaking and decisive capital deployment,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’s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gross asset value now exceeds R50 billion.</w:t>
      </w:r>
    </w:p>
    <w:p w14:paraId="39712AFC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458ACF6D" w14:textId="2407643E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777BEC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Through its 99.5%-held Spanish subsidiary Castellana Properties, </w:t>
      </w:r>
      <w:proofErr w:type="spellStart"/>
      <w:r w:rsidRPr="00777BEC"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777BEC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grew its asset base in Spain and Portugal by nearly 6</w:t>
      </w:r>
      <w:r w:rsidR="006613EA">
        <w:rPr>
          <w:rFonts w:ascii="Open Sans" w:hAnsi="Open Sans" w:cs="Open Sans"/>
          <w:color w:val="060808" w:themeColor="text1"/>
          <w:sz w:val="20"/>
          <w:szCs w:val="20"/>
          <w:lang w:val="en-ZA"/>
        </w:rPr>
        <w:t>0</w:t>
      </w:r>
      <w:r w:rsidRPr="00777BEC">
        <w:rPr>
          <w:rFonts w:ascii="Open Sans" w:hAnsi="Open Sans" w:cs="Open Sans"/>
          <w:color w:val="060808" w:themeColor="text1"/>
          <w:sz w:val="20"/>
          <w:szCs w:val="20"/>
          <w:lang w:val="en-ZA"/>
        </w:rPr>
        <w:t>%.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It exited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its investment in 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Lar España at an impressive profit of EUR8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2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million, swiftly redeploying capital to acquire the iconic Bonaire Shopping Centre 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Spain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’s Valencia province at a compelling cash-on-cash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return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of over 8%, avoiding cash drag and securing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sustainable 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earnings from a top-quality asset.</w:t>
      </w:r>
    </w:p>
    <w:p w14:paraId="7944662E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5010EDE4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Adding a new engine of growth to its strategy,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entered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Portugal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with four high-quality retail acquisitions. A fifth deal is well advanced and already fully funded.</w:t>
      </w:r>
    </w:p>
    <w:p w14:paraId="34833558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28A251ED" w14:textId="1111D3A8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777BEC">
        <w:rPr>
          <w:rFonts w:ascii="Open Sans" w:hAnsi="Open Sans" w:cs="Open Sans"/>
          <w:color w:val="060808" w:themeColor="text1"/>
          <w:sz w:val="20"/>
          <w:szCs w:val="20"/>
          <w:lang w:val="en-ZA"/>
        </w:rPr>
        <w:t>All-in-all, the Iberian portfolio grew around 6</w:t>
      </w:r>
      <w:r w:rsidR="006613EA">
        <w:rPr>
          <w:rFonts w:ascii="Open Sans" w:hAnsi="Open Sans" w:cs="Open Sans"/>
          <w:color w:val="060808" w:themeColor="text1"/>
          <w:sz w:val="20"/>
          <w:szCs w:val="20"/>
          <w:lang w:val="en-ZA"/>
        </w:rPr>
        <w:t>0</w:t>
      </w:r>
      <w:r w:rsidRPr="00777BEC">
        <w:rPr>
          <w:rFonts w:ascii="Open Sans" w:hAnsi="Open Sans" w:cs="Open Sans"/>
          <w:color w:val="060808" w:themeColor="text1"/>
          <w:sz w:val="20"/>
          <w:szCs w:val="20"/>
          <w:lang w:val="en-ZA"/>
        </w:rPr>
        <w:t>% over the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12 months, cementing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’s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dominant position across two of Europe’s strongest economies −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Spain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and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Portugal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. Approximately two-thirds of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’s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assets and </w:t>
      </w:r>
      <w:r w:rsidRPr="00854D0E">
        <w:rPr>
          <w:rFonts w:ascii="Open Sans" w:hAnsi="Open Sans" w:cs="Open Sans"/>
          <w:color w:val="060808" w:themeColor="text1"/>
          <w:sz w:val="20"/>
          <w:szCs w:val="20"/>
          <w:lang w:val="en-ZA"/>
        </w:rPr>
        <w:t>60%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of earnings are now offshore.</w:t>
      </w:r>
    </w:p>
    <w:p w14:paraId="762DCC95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560E6803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South Africa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,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acquired a 50% stake in Mall of Mthatha (formerly BT </w:t>
      </w:r>
      <w:proofErr w:type="spellStart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Ngebs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) in May 2024, where early turnaround performance has exceeded expectations. The mall’s vacancy rate has decreased dramatically from 18% to just 1.8%.</w:t>
      </w:r>
    </w:p>
    <w:p w14:paraId="01B92CE9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37FC96C0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lastRenderedPageBreak/>
        <w:t xml:space="preserve">These assets were acquired at a favourable point in the cycle, expanding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’s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footprint and growing its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Iberia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n portfolio with strategically aligned, high-performing assets that are delivering strong cash flows with further upside through targeted asset management.</w:t>
      </w:r>
    </w:p>
    <w:p w14:paraId="70300EC1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7EB2EC22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“We’ve come through a phase of explosive growth. Now, we’re focused on integration, optimisation and crystallising value from these assets.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remains open to opportunities but will prioritise deepening value within its current footprint, and for the time being we don’t expect to raise capital,” confirms Laurence Rapp, CEO of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Property Fund.</w:t>
      </w:r>
    </w:p>
    <w:p w14:paraId="3119D574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471E9BC8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Operational strength has stood out across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’s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portfolio of high-performance, strategically located shopping centres, with limited exposure to new competition and strong pricing power.</w:t>
      </w:r>
    </w:p>
    <w:p w14:paraId="7C4B1CEC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South Africa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, like-for-like net property income (NPI) grew 6.4%, vacancies remain below 2%, and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84% of 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rental reversions were positive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or flat.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The portfolio has recorded growth in both sales and footfall. The cost-to-income ratio reduced to 15%, with ongoing progress in solar and water initiatives enhancing sustainability metrics and efficiencies.</w:t>
      </w:r>
    </w:p>
    <w:p w14:paraId="68A17EB2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16866156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In the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Iberia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n portfolio, like-for-like NPI increased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by almost 2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%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and with </w:t>
      </w:r>
      <w:r w:rsidRPr="009E2CD8">
        <w:rPr>
          <w:rFonts w:ascii="Open Sans" w:hAnsi="Open Sans" w:cs="Open Sans"/>
          <w:color w:val="060808" w:themeColor="text1"/>
          <w:sz w:val="20"/>
          <w:szCs w:val="20"/>
          <w:lang w:val="en-ZA"/>
        </w:rPr>
        <w:t>various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value-add projects now complete, significant upward momentum can be expected in the year ahead. 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Vacancies in both portfolios remain below 2%. Positive rental reversions were a standout 23.6% 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Spain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and 6.15% 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Portugal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. Sales grew 4.3% 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Spain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and 6.7% in 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Portugal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.</w:t>
      </w:r>
    </w:p>
    <w:p w14:paraId="3C50DE95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0577D8C4" w14:textId="77777777" w:rsidR="0035560D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>“With a well-hedged balance sheet, minimal near-term debt expiries</w:t>
      </w:r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of</w:t>
      </w:r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just 2% maturing in FY26 and strong liquidity, </w:t>
      </w:r>
      <w:proofErr w:type="spellStart"/>
      <w:r>
        <w:rPr>
          <w:rFonts w:ascii="Open Sans" w:hAnsi="Open Sans" w:cs="Open Sans"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color w:val="060808" w:themeColor="text1"/>
          <w:sz w:val="20"/>
          <w:szCs w:val="20"/>
          <w:lang w:val="en-ZA"/>
        </w:rPr>
        <w:t xml:space="preserve"> is closing FY25 in an exceptionally positive position,” says Rapp.</w:t>
      </w:r>
    </w:p>
    <w:p w14:paraId="61C39A7D" w14:textId="77777777" w:rsidR="0035560D" w:rsidRPr="00C27770" w:rsidRDefault="0035560D" w:rsidP="0035560D">
      <w:pPr>
        <w:spacing w:after="0"/>
        <w:jc w:val="both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280A8B99" w14:textId="77777777" w:rsidR="0035560D" w:rsidRPr="003A172E" w:rsidRDefault="0035560D" w:rsidP="0035560D">
      <w:pPr>
        <w:spacing w:after="0"/>
        <w:jc w:val="both"/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</w:pPr>
      <w:proofErr w:type="spellStart"/>
      <w:r w:rsidRPr="003A172E"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  <w:t>Vukile</w:t>
      </w:r>
      <w:proofErr w:type="spellEnd"/>
      <w:r w:rsidRPr="00C27770"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  <w:t xml:space="preserve"> </w:t>
      </w:r>
      <w:r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  <w:t xml:space="preserve">Property Fund </w:t>
      </w:r>
      <w:r w:rsidRPr="00C27770"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  <w:t xml:space="preserve">will report results for </w:t>
      </w:r>
      <w:r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  <w:t xml:space="preserve">the </w:t>
      </w:r>
      <w:r w:rsidRPr="00C27770">
        <w:rPr>
          <w:rFonts w:ascii="Open Sans" w:hAnsi="Open Sans" w:cs="Open Sans"/>
          <w:i/>
          <w:iCs/>
          <w:color w:val="060808" w:themeColor="text1"/>
          <w:sz w:val="20"/>
          <w:szCs w:val="20"/>
          <w:lang w:val="en-ZA"/>
        </w:rPr>
        <w:t>full year to 31 March 2025 on 17 June 2025.</w:t>
      </w:r>
    </w:p>
    <w:p w14:paraId="379A2C6C" w14:textId="77777777" w:rsidR="0035560D" w:rsidRPr="00C27770" w:rsidRDefault="0035560D" w:rsidP="0035560D">
      <w:pPr>
        <w:spacing w:after="0"/>
        <w:rPr>
          <w:rFonts w:ascii="Open Sans" w:hAnsi="Open Sans" w:cs="Open Sans"/>
          <w:color w:val="060808" w:themeColor="text1"/>
          <w:sz w:val="20"/>
          <w:szCs w:val="20"/>
          <w:lang w:val="en-ZA"/>
        </w:rPr>
      </w:pPr>
    </w:p>
    <w:p w14:paraId="30A6FBC9" w14:textId="77777777" w:rsidR="0035560D" w:rsidRPr="00C27770" w:rsidRDefault="0035560D" w:rsidP="0035560D">
      <w:pPr>
        <w:spacing w:after="0"/>
        <w:jc w:val="center"/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</w:pPr>
      <w:r w:rsidRPr="00C27770">
        <w:rPr>
          <w:rFonts w:ascii="Open Sans" w:hAnsi="Open Sans" w:cs="Open Sans"/>
          <w:b/>
          <w:bCs/>
          <w:color w:val="060808" w:themeColor="text1"/>
          <w:sz w:val="20"/>
          <w:szCs w:val="20"/>
          <w:lang w:val="en-ZA"/>
        </w:rPr>
        <w:t>…/ends</w:t>
      </w:r>
    </w:p>
    <w:p w14:paraId="568DEC5C" w14:textId="77777777" w:rsidR="0035560D" w:rsidRDefault="0035560D" w:rsidP="00503619">
      <w:pPr>
        <w:spacing w:after="0" w:line="288" w:lineRule="auto"/>
        <w:rPr>
          <w:rFonts w:ascii="Open Sans" w:hAnsi="Open Sans" w:cs="Open Sans"/>
          <w:color w:val="auto"/>
          <w:sz w:val="20"/>
          <w:szCs w:val="20"/>
          <w:u w:val="single"/>
        </w:rPr>
      </w:pPr>
    </w:p>
    <w:p w14:paraId="6B20E7F7" w14:textId="48072E74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  <w:u w:val="single"/>
        </w:rPr>
      </w:pPr>
      <w:r w:rsidRPr="002B74E9">
        <w:rPr>
          <w:rFonts w:ascii="Open Sans" w:hAnsi="Open Sans" w:cs="Open Sans"/>
          <w:color w:val="auto"/>
          <w:sz w:val="20"/>
          <w:szCs w:val="20"/>
          <w:u w:val="single"/>
        </w:rPr>
        <w:t xml:space="preserve">Released by </w:t>
      </w:r>
      <w:proofErr w:type="spellStart"/>
      <w:r w:rsidRPr="002B74E9">
        <w:rPr>
          <w:rFonts w:ascii="Open Sans" w:hAnsi="Open Sans" w:cs="Open Sans"/>
          <w:color w:val="auto"/>
          <w:sz w:val="20"/>
          <w:szCs w:val="20"/>
          <w:u w:val="single"/>
        </w:rPr>
        <w:t>Dmix</w:t>
      </w:r>
      <w:proofErr w:type="spellEnd"/>
      <w:r w:rsidRPr="002B74E9">
        <w:rPr>
          <w:rFonts w:ascii="Open Sans" w:hAnsi="Open Sans" w:cs="Open Sans"/>
          <w:color w:val="auto"/>
          <w:sz w:val="20"/>
          <w:szCs w:val="20"/>
          <w:u w:val="single"/>
        </w:rPr>
        <w:t xml:space="preserve"> on behalf of:</w:t>
      </w:r>
    </w:p>
    <w:p w14:paraId="686FCF50" w14:textId="77777777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proofErr w:type="spellStart"/>
      <w:r w:rsidRPr="002B74E9">
        <w:rPr>
          <w:rFonts w:ascii="Open Sans" w:hAnsi="Open Sans" w:cs="Open Sans"/>
          <w:color w:val="auto"/>
          <w:sz w:val="20"/>
          <w:szCs w:val="20"/>
        </w:rPr>
        <w:t>Vukile</w:t>
      </w:r>
      <w:proofErr w:type="spellEnd"/>
      <w:r w:rsidRPr="002B74E9">
        <w:rPr>
          <w:rFonts w:ascii="Open Sans" w:hAnsi="Open Sans" w:cs="Open Sans"/>
          <w:color w:val="auto"/>
          <w:sz w:val="20"/>
          <w:szCs w:val="20"/>
        </w:rPr>
        <w:t xml:space="preserve"> Property Fund </w:t>
      </w:r>
    </w:p>
    <w:p w14:paraId="24710F26" w14:textId="77777777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2B74E9">
        <w:rPr>
          <w:rFonts w:ascii="Open Sans" w:hAnsi="Open Sans" w:cs="Open Sans"/>
          <w:color w:val="auto"/>
          <w:sz w:val="20"/>
          <w:szCs w:val="20"/>
        </w:rPr>
        <w:t>Laurence Rapp, CEO</w:t>
      </w:r>
    </w:p>
    <w:p w14:paraId="205EEB8A" w14:textId="77777777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2B74E9">
        <w:rPr>
          <w:rFonts w:ascii="Open Sans" w:hAnsi="Open Sans" w:cs="Open Sans"/>
          <w:color w:val="auto"/>
          <w:sz w:val="20"/>
          <w:szCs w:val="20"/>
        </w:rPr>
        <w:t>Tel: 011 288 1032</w:t>
      </w:r>
    </w:p>
    <w:p w14:paraId="747ED297" w14:textId="77777777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2B74E9">
        <w:rPr>
          <w:rFonts w:ascii="Open Sans" w:hAnsi="Open Sans" w:cs="Open Sans"/>
          <w:color w:val="auto"/>
          <w:sz w:val="20"/>
          <w:szCs w:val="20"/>
        </w:rPr>
        <w:t xml:space="preserve">Website: </w:t>
      </w:r>
      <w:hyperlink r:id="rId10" w:history="1">
        <w:r w:rsidRPr="002B74E9">
          <w:rPr>
            <w:rStyle w:val="Hyperlink"/>
            <w:rFonts w:ascii="Open Sans" w:hAnsi="Open Sans" w:cs="Open Sans"/>
            <w:color w:val="auto"/>
            <w:sz w:val="20"/>
            <w:szCs w:val="20"/>
            <w:lang w:eastAsia="en-GB"/>
          </w:rPr>
          <w:t>www.vukile.co.za</w:t>
        </w:r>
      </w:hyperlink>
    </w:p>
    <w:p w14:paraId="4061D34E" w14:textId="77777777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2B74E9">
        <w:rPr>
          <w:rFonts w:ascii="Open Sans" w:hAnsi="Open Sans" w:cs="Open Sans"/>
          <w:color w:val="auto"/>
          <w:sz w:val="20"/>
          <w:szCs w:val="20"/>
        </w:rPr>
        <w:t xml:space="preserve">Twitter: </w:t>
      </w:r>
      <w:hyperlink r:id="rId11" w:history="1">
        <w:r w:rsidRPr="002B74E9">
          <w:rPr>
            <w:rStyle w:val="Hyperlink"/>
            <w:rFonts w:ascii="Open Sans" w:hAnsi="Open Sans" w:cs="Open Sans"/>
            <w:color w:val="auto"/>
            <w:sz w:val="20"/>
            <w:szCs w:val="20"/>
          </w:rPr>
          <w:t>https://twitter.com/VukilePropFund</w:t>
        </w:r>
      </w:hyperlink>
    </w:p>
    <w:p w14:paraId="03F43945" w14:textId="77777777" w:rsidR="00503619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2B74E9">
        <w:rPr>
          <w:rFonts w:ascii="Open Sans" w:hAnsi="Open Sans" w:cs="Open Sans"/>
          <w:color w:val="auto"/>
          <w:sz w:val="20"/>
          <w:szCs w:val="20"/>
        </w:rPr>
        <w:t xml:space="preserve">Facebook: </w:t>
      </w:r>
      <w:hyperlink r:id="rId12" w:history="1">
        <w:r w:rsidRPr="002B74E9">
          <w:rPr>
            <w:rStyle w:val="Hyperlink"/>
            <w:rFonts w:ascii="Open Sans" w:hAnsi="Open Sans" w:cs="Open Sans"/>
            <w:color w:val="auto"/>
            <w:sz w:val="20"/>
            <w:szCs w:val="20"/>
          </w:rPr>
          <w:t>https://www.facebook.com/vukilepropertyfund</w:t>
        </w:r>
      </w:hyperlink>
      <w:r w:rsidRPr="002B74E9">
        <w:rPr>
          <w:rFonts w:ascii="Open Sans" w:hAnsi="Open Sans" w:cs="Open Sans"/>
          <w:color w:val="auto"/>
          <w:sz w:val="20"/>
          <w:szCs w:val="20"/>
        </w:rPr>
        <w:t xml:space="preserve"> </w:t>
      </w:r>
    </w:p>
    <w:p w14:paraId="51D6F64D" w14:textId="08A81E80" w:rsidR="00F073C0" w:rsidRPr="002B74E9" w:rsidRDefault="00503619" w:rsidP="002B74E9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2B74E9">
        <w:rPr>
          <w:rFonts w:ascii="Open Sans" w:hAnsi="Open Sans" w:cs="Open Sans"/>
          <w:color w:val="auto"/>
          <w:sz w:val="20"/>
          <w:szCs w:val="20"/>
        </w:rPr>
        <w:t xml:space="preserve">LinkedIn: </w:t>
      </w:r>
      <w:hyperlink r:id="rId13" w:history="1">
        <w:r w:rsidRPr="002B74E9">
          <w:rPr>
            <w:rStyle w:val="Hyperlink"/>
            <w:rFonts w:ascii="Open Sans" w:hAnsi="Open Sans" w:cs="Open Sans"/>
            <w:color w:val="auto"/>
            <w:sz w:val="20"/>
            <w:szCs w:val="20"/>
          </w:rPr>
          <w:t>https://www.linkedin.com/company/vukile-property-fund/</w:t>
        </w:r>
      </w:hyperlink>
    </w:p>
    <w:sectPr w:rsidR="00F073C0" w:rsidRPr="002B74E9" w:rsidSect="008D2BB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993" w:left="1134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3408" w14:textId="77777777" w:rsidR="00CB4171" w:rsidRDefault="00CB4171" w:rsidP="00D93F4A">
      <w:pPr>
        <w:spacing w:after="0" w:line="240" w:lineRule="auto"/>
      </w:pPr>
      <w:r>
        <w:separator/>
      </w:r>
    </w:p>
  </w:endnote>
  <w:endnote w:type="continuationSeparator" w:id="0">
    <w:p w14:paraId="1259FF44" w14:textId="77777777" w:rsidR="00CB4171" w:rsidRDefault="00CB4171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D03F2FFB-577F-4447-BBC3-B0EDAD936862}"/>
    <w:embedBold r:id="rId2" w:fontKey="{E12BBBDD-D5BB-4E05-AA98-4F100DEB0777}"/>
    <w:embedItalic r:id="rId3" w:fontKey="{885B911E-A4C3-41F6-8DEF-19AC8C22BA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ADDBB4E-647A-461D-868F-0684BA097B3D}"/>
    <w:embedBold r:id="rId5" w:fontKey="{A858F888-DCF7-474E-8F3D-424E0E7FE3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2AC1FB74-7708-42BF-AB72-E3956C829A8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C55ED42-E34C-4C9A-B5F6-61A8F990C2F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95825F36-F4A3-4FD3-AB23-16444D8CEDBC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1A3CBB12-AED3-4598-B9EC-B1A5641A6061}"/>
    <w:embedBold r:id="rId10" w:fontKey="{7B85DE54-FF82-44F3-B208-61BA3681BED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4DCA2545-EB7D-4EAC-A0EC-2BF442C7921C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2" w:fontKey="{EF280262-B0CF-4BBF-B435-80067E3D6CF0}"/>
    <w:embedBold r:id="rId13" w:fontKey="{8B8B9748-1260-4821-B52D-EE57A4515F57}"/>
    <w:embedItalic r:id="rId14" w:fontKey="{44CE84D6-84EC-4F09-AB81-7465948732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1B253B04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proofErr w:type="spellStart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>Vukile</w:t>
    </w:r>
    <w:proofErr w:type="spellEnd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77777777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 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H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Ntene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DF54" w14:textId="77777777" w:rsidR="00CB4171" w:rsidRDefault="00CB4171" w:rsidP="00D93F4A">
      <w:pPr>
        <w:spacing w:after="0" w:line="240" w:lineRule="auto"/>
      </w:pPr>
      <w:r>
        <w:separator/>
      </w:r>
    </w:p>
  </w:footnote>
  <w:footnote w:type="continuationSeparator" w:id="0">
    <w:p w14:paraId="7FACBD56" w14:textId="77777777" w:rsidR="00CB4171" w:rsidRDefault="00CB4171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D1D627C" wp14:editId="7B5817A5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2024269564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299B01EE">
          <wp:simplePos x="0" y="0"/>
          <wp:positionH relativeFrom="column">
            <wp:posOffset>-727774</wp:posOffset>
          </wp:positionH>
          <wp:positionV relativeFrom="paragraph">
            <wp:posOffset>-455029</wp:posOffset>
          </wp:positionV>
          <wp:extent cx="7560000" cy="10687961"/>
          <wp:effectExtent l="0" t="0" r="0" b="5715"/>
          <wp:wrapNone/>
          <wp:docPr id="17695051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04A61" w14:textId="77777777" w:rsidR="00180620" w:rsidRDefault="00180620" w:rsidP="00A71E59">
    <w:pPr>
      <w:pStyle w:val="Header"/>
    </w:pPr>
  </w:p>
  <w:p w14:paraId="36B25603" w14:textId="77777777" w:rsidR="00180620" w:rsidRDefault="00180620" w:rsidP="00A71E59">
    <w:pPr>
      <w:pStyle w:val="Header"/>
      <w:rPr>
        <w:sz w:val="28"/>
        <w:szCs w:val="28"/>
      </w:rPr>
    </w:pPr>
  </w:p>
  <w:p w14:paraId="729A84B5" w14:textId="77777777" w:rsidR="00180620" w:rsidRDefault="00180620">
    <w:pPr>
      <w:pStyle w:val="Header"/>
    </w:pPr>
  </w:p>
  <w:p w14:paraId="2CE208DE" w14:textId="77777777" w:rsidR="00180620" w:rsidRDefault="00180620">
    <w:pPr>
      <w:pStyle w:val="Header"/>
    </w:pPr>
  </w:p>
  <w:p w14:paraId="767B02E3" w14:textId="77777777" w:rsidR="00180620" w:rsidRDefault="00180620">
    <w:pPr>
      <w:pStyle w:val="Header"/>
    </w:pP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22262"/>
    <w:rsid w:val="0005098A"/>
    <w:rsid w:val="00096D44"/>
    <w:rsid w:val="000E1BE5"/>
    <w:rsid w:val="0012155A"/>
    <w:rsid w:val="00155609"/>
    <w:rsid w:val="00180620"/>
    <w:rsid w:val="00183F8E"/>
    <w:rsid w:val="0019120A"/>
    <w:rsid w:val="001A747D"/>
    <w:rsid w:val="001B0792"/>
    <w:rsid w:val="001D4127"/>
    <w:rsid w:val="001E5A82"/>
    <w:rsid w:val="001E7A66"/>
    <w:rsid w:val="001F4365"/>
    <w:rsid w:val="00254FA1"/>
    <w:rsid w:val="002660E8"/>
    <w:rsid w:val="0027270A"/>
    <w:rsid w:val="002A4ACD"/>
    <w:rsid w:val="002B74E9"/>
    <w:rsid w:val="002E181A"/>
    <w:rsid w:val="003379E3"/>
    <w:rsid w:val="0035560D"/>
    <w:rsid w:val="0036538F"/>
    <w:rsid w:val="003D6E41"/>
    <w:rsid w:val="00405598"/>
    <w:rsid w:val="00462671"/>
    <w:rsid w:val="0047547B"/>
    <w:rsid w:val="004757FB"/>
    <w:rsid w:val="00503619"/>
    <w:rsid w:val="00515D09"/>
    <w:rsid w:val="0053482C"/>
    <w:rsid w:val="00566AAB"/>
    <w:rsid w:val="0058634E"/>
    <w:rsid w:val="005902F6"/>
    <w:rsid w:val="005C1299"/>
    <w:rsid w:val="006415CD"/>
    <w:rsid w:val="006613EA"/>
    <w:rsid w:val="006726B0"/>
    <w:rsid w:val="00673BB5"/>
    <w:rsid w:val="006755BE"/>
    <w:rsid w:val="00677AC0"/>
    <w:rsid w:val="006857CE"/>
    <w:rsid w:val="006904B7"/>
    <w:rsid w:val="006906D0"/>
    <w:rsid w:val="006B7B50"/>
    <w:rsid w:val="006D3B0C"/>
    <w:rsid w:val="006F6682"/>
    <w:rsid w:val="0071487F"/>
    <w:rsid w:val="00725C9F"/>
    <w:rsid w:val="007C151C"/>
    <w:rsid w:val="007F69D4"/>
    <w:rsid w:val="00802BB5"/>
    <w:rsid w:val="00821E12"/>
    <w:rsid w:val="00837E7D"/>
    <w:rsid w:val="00882F6E"/>
    <w:rsid w:val="00884F10"/>
    <w:rsid w:val="008D2BBB"/>
    <w:rsid w:val="008F1328"/>
    <w:rsid w:val="00931761"/>
    <w:rsid w:val="00974E52"/>
    <w:rsid w:val="00991B72"/>
    <w:rsid w:val="009C3BEE"/>
    <w:rsid w:val="009D30E9"/>
    <w:rsid w:val="009E58BC"/>
    <w:rsid w:val="009F0A3D"/>
    <w:rsid w:val="00AC71AB"/>
    <w:rsid w:val="00AD5739"/>
    <w:rsid w:val="00AF7A16"/>
    <w:rsid w:val="00BD0063"/>
    <w:rsid w:val="00C7016B"/>
    <w:rsid w:val="00CB4171"/>
    <w:rsid w:val="00D11C7A"/>
    <w:rsid w:val="00D14D98"/>
    <w:rsid w:val="00D93F4A"/>
    <w:rsid w:val="00D9651F"/>
    <w:rsid w:val="00DD6F18"/>
    <w:rsid w:val="00DE15C5"/>
    <w:rsid w:val="00DF2E16"/>
    <w:rsid w:val="00E1375D"/>
    <w:rsid w:val="00E5520E"/>
    <w:rsid w:val="00E7245D"/>
    <w:rsid w:val="00E82006"/>
    <w:rsid w:val="00E84DD7"/>
    <w:rsid w:val="00EC2B40"/>
    <w:rsid w:val="00ED54B4"/>
    <w:rsid w:val="00EE58D6"/>
    <w:rsid w:val="00F073C0"/>
    <w:rsid w:val="00F10641"/>
    <w:rsid w:val="00F171EC"/>
    <w:rsid w:val="00F172C9"/>
    <w:rsid w:val="00F2562B"/>
    <w:rsid w:val="00F4024D"/>
    <w:rsid w:val="00F47C19"/>
    <w:rsid w:val="00F76A64"/>
    <w:rsid w:val="00FA7EFD"/>
    <w:rsid w:val="00FC5E56"/>
    <w:rsid w:val="00FE2FC5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uiPriority w:val="1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paragraph" w:styleId="ListParagraph">
    <w:name w:val="List Paragraph"/>
    <w:basedOn w:val="Normal"/>
    <w:uiPriority w:val="34"/>
    <w:qFormat/>
    <w:rsid w:val="00725C9F"/>
    <w:pPr>
      <w:spacing w:after="0" w:line="240" w:lineRule="auto"/>
      <w:ind w:left="720"/>
      <w:contextualSpacing/>
    </w:pPr>
    <w:rPr>
      <w:color w:val="auto"/>
      <w:kern w:val="0"/>
      <w:sz w:val="24"/>
      <w:szCs w:val="24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725C9F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725C9F"/>
    <w:rPr>
      <w:rFonts w:ascii="Calibri" w:hAnsi="Calibri"/>
      <w:kern w:val="0"/>
      <w:szCs w:val="21"/>
      <w:lang w:val="en-GB"/>
    </w:rPr>
  </w:style>
  <w:style w:type="paragraph" w:customStyle="1" w:styleId="css-1ypebu9">
    <w:name w:val="css-1ypebu9"/>
    <w:basedOn w:val="Normal"/>
    <w:rsid w:val="0072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FE2FC5"/>
    <w:rPr>
      <w:color w:val="060808" w:themeColor="hyperlink"/>
      <w:u w:val="single"/>
    </w:rPr>
  </w:style>
  <w:style w:type="character" w:customStyle="1" w:styleId="normaltextrun">
    <w:name w:val="normaltextrun"/>
    <w:basedOn w:val="DefaultParagraphFont"/>
    <w:rsid w:val="00931761"/>
  </w:style>
  <w:style w:type="paragraph" w:customStyle="1" w:styleId="css-qffaiu">
    <w:name w:val="css-qffaiu"/>
    <w:basedOn w:val="Normal"/>
    <w:rsid w:val="00F0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F07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vukile.co.z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5" ma:contentTypeDescription="Create a new document." ma:contentTypeScope="" ma:versionID="893c7fdcdff74714a7ea22b8d35e7162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86e495b652d32456604ffd41b1cdb9f2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Props1.xml><?xml version="1.0" encoding="utf-8"?>
<ds:datastoreItem xmlns:ds="http://schemas.openxmlformats.org/officeDocument/2006/customXml" ds:itemID="{D124E4EB-90E9-49B0-9009-E23810C96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D28CA-4D03-4517-8CF9-6C99305DA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35D82-6A02-4CFD-8794-A42A5CC3CD64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Anne Lovell</cp:lastModifiedBy>
  <cp:revision>2</cp:revision>
  <cp:lastPrinted>2023-11-22T10:13:00Z</cp:lastPrinted>
  <dcterms:created xsi:type="dcterms:W3CDTF">2025-03-31T05:26:00Z</dcterms:created>
  <dcterms:modified xsi:type="dcterms:W3CDTF">2025-03-31T05:26:00Z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0x010100F32DA0DAE96A304980BF48155B65C3FC</vt:lpwstr>
  </property>
  <property fmtid="{D5CDD505-2E9C-101B-9397-08002B2CF9AE}" pid="3" name="MediaServiceImageTags">
    <vt:lpwstr/>
  </property>
</Properties>
</file>