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2E9E" w14:textId="77777777" w:rsidR="00563D53" w:rsidRPr="00722B94" w:rsidRDefault="00563D53" w:rsidP="00563D53">
      <w:pPr>
        <w:jc w:val="both"/>
        <w:rPr>
          <w:rFonts w:cstheme="minorBidi"/>
          <w:color w:val="000000" w:themeColor="text1"/>
          <w:sz w:val="20"/>
          <w:szCs w:val="20"/>
        </w:rPr>
      </w:pPr>
      <w:r w:rsidRPr="00722B94">
        <w:rPr>
          <w:color w:val="000000" w:themeColor="text1"/>
          <w:sz w:val="20"/>
          <w:szCs w:val="20"/>
        </w:rPr>
        <w:t>MEDIA RELEASE FROM GROWTHPOINT PROPERTIES</w:t>
      </w:r>
    </w:p>
    <w:p w14:paraId="62843FA2" w14:textId="77777777" w:rsidR="00563D53" w:rsidRDefault="00563D53" w:rsidP="00563D53">
      <w:pPr>
        <w:jc w:val="both"/>
        <w:rPr>
          <w:color w:val="000000" w:themeColor="text1"/>
          <w:sz w:val="20"/>
          <w:szCs w:val="20"/>
        </w:rPr>
      </w:pPr>
    </w:p>
    <w:p w14:paraId="068A1AB3" w14:textId="77777777" w:rsidR="00563D53" w:rsidRPr="00722B94" w:rsidRDefault="00563D53" w:rsidP="00563D53">
      <w:pPr>
        <w:jc w:val="both"/>
        <w:rPr>
          <w:color w:val="000000" w:themeColor="text1"/>
          <w:sz w:val="20"/>
          <w:szCs w:val="20"/>
        </w:rPr>
      </w:pPr>
      <w:r w:rsidRPr="00722B94">
        <w:rPr>
          <w:color w:val="000000" w:themeColor="text1"/>
          <w:sz w:val="20"/>
          <w:szCs w:val="20"/>
        </w:rPr>
        <w:t>15 September 2021</w:t>
      </w:r>
    </w:p>
    <w:p w14:paraId="7B2EE744" w14:textId="77777777" w:rsidR="00563D53" w:rsidRPr="00722B94" w:rsidRDefault="00563D53" w:rsidP="00563D53">
      <w:pPr>
        <w:jc w:val="both"/>
        <w:rPr>
          <w:color w:val="000000" w:themeColor="text1"/>
          <w:sz w:val="20"/>
          <w:szCs w:val="20"/>
        </w:rPr>
      </w:pPr>
    </w:p>
    <w:p w14:paraId="516B1C48" w14:textId="77777777" w:rsidR="00563D53" w:rsidRPr="00722B94" w:rsidRDefault="00563D53" w:rsidP="00563D53">
      <w:pPr>
        <w:jc w:val="center"/>
        <w:rPr>
          <w:b/>
          <w:bCs/>
          <w:i/>
          <w:iCs/>
          <w:color w:val="000000"/>
          <w:sz w:val="20"/>
          <w:szCs w:val="20"/>
        </w:rPr>
      </w:pPr>
      <w:r w:rsidRPr="00722B94">
        <w:rPr>
          <w:b/>
          <w:bCs/>
          <w:i/>
          <w:iCs/>
          <w:color w:val="000000"/>
          <w:sz w:val="20"/>
          <w:szCs w:val="20"/>
        </w:rPr>
        <w:t>Growthpoint’s strong liquidity and balance sheet drive healthy dividends for investors</w:t>
      </w:r>
    </w:p>
    <w:p w14:paraId="1528C44F" w14:textId="77777777" w:rsidR="00563D53" w:rsidRPr="00722B94" w:rsidRDefault="00563D53" w:rsidP="00563D53">
      <w:pPr>
        <w:jc w:val="both"/>
        <w:rPr>
          <w:sz w:val="20"/>
          <w:szCs w:val="20"/>
        </w:rPr>
      </w:pPr>
    </w:p>
    <w:p w14:paraId="57FFCF7B" w14:textId="77777777" w:rsidR="00563D53" w:rsidRPr="00722B94" w:rsidRDefault="00563D53" w:rsidP="00563D53">
      <w:pPr>
        <w:pStyle w:val="PlainText"/>
        <w:jc w:val="both"/>
        <w:rPr>
          <w:rFonts w:ascii="Trebuchet MS" w:hAnsi="Trebuchet MS"/>
          <w:color w:val="000000"/>
          <w:sz w:val="20"/>
          <w:szCs w:val="20"/>
        </w:rPr>
      </w:pPr>
      <w:r w:rsidRPr="00722B94">
        <w:rPr>
          <w:rFonts w:ascii="Trebuchet MS" w:hAnsi="Trebuchet MS"/>
          <w:sz w:val="20"/>
          <w:szCs w:val="20"/>
        </w:rPr>
        <w:t>Growthpoint Properties Limited (JSE: GRT) delivered 6.</w:t>
      </w:r>
      <w:r>
        <w:rPr>
          <w:rFonts w:ascii="Trebuchet MS" w:hAnsi="Trebuchet MS"/>
          <w:sz w:val="20"/>
          <w:szCs w:val="20"/>
        </w:rPr>
        <w:t>2</w:t>
      </w:r>
      <w:r w:rsidRPr="00722B94">
        <w:rPr>
          <w:rFonts w:ascii="Trebuchet MS" w:hAnsi="Trebuchet MS"/>
          <w:sz w:val="20"/>
          <w:szCs w:val="20"/>
        </w:rPr>
        <w:t>% growth in revenue and R5.1bn in distributable income for its financial year to 30 June 2021</w:t>
      </w:r>
      <w:r>
        <w:rPr>
          <w:rFonts w:ascii="Trebuchet MS" w:hAnsi="Trebuchet MS"/>
          <w:color w:val="000000"/>
          <w:sz w:val="20"/>
          <w:szCs w:val="20"/>
        </w:rPr>
        <w:t>.</w:t>
      </w:r>
    </w:p>
    <w:p w14:paraId="0BC79826" w14:textId="77777777" w:rsidR="00563D53" w:rsidRPr="00722B94" w:rsidRDefault="00563D53" w:rsidP="00563D53">
      <w:pPr>
        <w:pStyle w:val="PlainText"/>
        <w:jc w:val="both"/>
        <w:rPr>
          <w:rFonts w:ascii="Trebuchet MS" w:hAnsi="Trebuchet MS"/>
          <w:color w:val="000000"/>
          <w:sz w:val="20"/>
          <w:szCs w:val="20"/>
        </w:rPr>
      </w:pPr>
    </w:p>
    <w:p w14:paraId="0324A3F4" w14:textId="77777777" w:rsidR="00563D53" w:rsidRDefault="00563D53" w:rsidP="00563D53">
      <w:pPr>
        <w:pStyle w:val="PlainText"/>
        <w:jc w:val="both"/>
        <w:rPr>
          <w:rFonts w:ascii="Trebuchet MS" w:hAnsi="Trebuchet MS"/>
          <w:sz w:val="20"/>
          <w:szCs w:val="20"/>
        </w:rPr>
      </w:pPr>
      <w:r w:rsidRPr="00722B94">
        <w:rPr>
          <w:rFonts w:ascii="Trebuchet MS" w:hAnsi="Trebuchet MS"/>
          <w:color w:val="000000"/>
          <w:sz w:val="20"/>
          <w:szCs w:val="20"/>
        </w:rPr>
        <w:t xml:space="preserve">Compared with FY20, distributable income decreased </w:t>
      </w:r>
      <w:r>
        <w:rPr>
          <w:rFonts w:ascii="Trebuchet MS" w:hAnsi="Trebuchet MS"/>
          <w:color w:val="000000"/>
          <w:sz w:val="20"/>
          <w:szCs w:val="20"/>
        </w:rPr>
        <w:t xml:space="preserve">by </w:t>
      </w:r>
      <w:r w:rsidRPr="00722B94">
        <w:rPr>
          <w:rFonts w:ascii="Trebuchet MS" w:hAnsi="Trebuchet MS"/>
          <w:color w:val="000000"/>
          <w:sz w:val="20"/>
          <w:szCs w:val="20"/>
        </w:rPr>
        <w:t xml:space="preserve">7.8%. On a per share basis, however, it declined </w:t>
      </w:r>
      <w:r w:rsidRPr="00722B94">
        <w:rPr>
          <w:rFonts w:ascii="Trebuchet MS" w:hAnsi="Trebuchet MS"/>
          <w:sz w:val="20"/>
          <w:szCs w:val="20"/>
        </w:rPr>
        <w:t>19.</w:t>
      </w:r>
      <w:r>
        <w:rPr>
          <w:rFonts w:ascii="Trebuchet MS" w:hAnsi="Trebuchet MS"/>
          <w:sz w:val="20"/>
          <w:szCs w:val="20"/>
        </w:rPr>
        <w:t>1</w:t>
      </w:r>
      <w:r w:rsidRPr="00722B94">
        <w:rPr>
          <w:rFonts w:ascii="Trebuchet MS" w:hAnsi="Trebuchet MS"/>
          <w:sz w:val="20"/>
          <w:szCs w:val="20"/>
        </w:rPr>
        <w:t xml:space="preserve">% to 148.1 cents per share, mainly </w:t>
      </w:r>
      <w:r>
        <w:rPr>
          <w:rFonts w:ascii="Trebuchet MS" w:hAnsi="Trebuchet MS"/>
          <w:sz w:val="20"/>
          <w:szCs w:val="20"/>
        </w:rPr>
        <w:t>due to</w:t>
      </w:r>
      <w:r w:rsidRPr="00722B94">
        <w:rPr>
          <w:rFonts w:ascii="Trebuchet MS" w:hAnsi="Trebuchet MS"/>
          <w:sz w:val="20"/>
          <w:szCs w:val="20"/>
        </w:rPr>
        <w:t xml:space="preserve"> 408m new shares issued through </w:t>
      </w:r>
      <w:r>
        <w:rPr>
          <w:rFonts w:ascii="Trebuchet MS" w:hAnsi="Trebuchet MS"/>
          <w:sz w:val="20"/>
          <w:szCs w:val="20"/>
        </w:rPr>
        <w:t>the</w:t>
      </w:r>
      <w:r w:rsidRPr="00722B94">
        <w:rPr>
          <w:rFonts w:ascii="Trebuchet MS" w:hAnsi="Trebuchet MS"/>
          <w:sz w:val="20"/>
          <w:szCs w:val="20"/>
        </w:rPr>
        <w:t xml:space="preserve"> oversubscribed </w:t>
      </w:r>
      <w:r>
        <w:rPr>
          <w:rFonts w:ascii="Trebuchet MS" w:hAnsi="Trebuchet MS"/>
          <w:sz w:val="20"/>
          <w:szCs w:val="20"/>
        </w:rPr>
        <w:t xml:space="preserve">equity raise of </w:t>
      </w:r>
      <w:r w:rsidRPr="00722B94">
        <w:rPr>
          <w:rFonts w:ascii="Trebuchet MS" w:hAnsi="Trebuchet MS"/>
          <w:sz w:val="20"/>
          <w:szCs w:val="20"/>
        </w:rPr>
        <w:t xml:space="preserve">R4.3bn </w:t>
      </w:r>
      <w:r>
        <w:rPr>
          <w:rFonts w:ascii="Trebuchet MS" w:hAnsi="Trebuchet MS"/>
          <w:sz w:val="20"/>
          <w:szCs w:val="20"/>
        </w:rPr>
        <w:t>in November 2020</w:t>
      </w:r>
      <w:r w:rsidRPr="00722B94">
        <w:rPr>
          <w:rFonts w:ascii="Trebuchet MS" w:hAnsi="Trebuchet MS"/>
          <w:sz w:val="20"/>
          <w:szCs w:val="20"/>
        </w:rPr>
        <w:t xml:space="preserve"> and the</w:t>
      </w:r>
      <w:r>
        <w:rPr>
          <w:rFonts w:ascii="Trebuchet MS" w:hAnsi="Trebuchet MS"/>
          <w:sz w:val="20"/>
          <w:szCs w:val="20"/>
        </w:rPr>
        <w:t xml:space="preserve"> December 2020</w:t>
      </w:r>
      <w:r w:rsidRPr="00722B94">
        <w:rPr>
          <w:rFonts w:ascii="Trebuchet MS" w:hAnsi="Trebuchet MS"/>
          <w:sz w:val="20"/>
          <w:szCs w:val="20"/>
        </w:rPr>
        <w:t xml:space="preserve"> dividend reinvestment programme which raised an additional R577m. </w:t>
      </w:r>
    </w:p>
    <w:p w14:paraId="2FB27952" w14:textId="77777777" w:rsidR="00563D53" w:rsidRDefault="00563D53" w:rsidP="00563D53">
      <w:pPr>
        <w:pStyle w:val="PlainText"/>
        <w:jc w:val="both"/>
        <w:rPr>
          <w:rFonts w:ascii="Trebuchet MS" w:hAnsi="Trebuchet MS"/>
          <w:sz w:val="20"/>
          <w:szCs w:val="20"/>
        </w:rPr>
      </w:pPr>
    </w:p>
    <w:p w14:paraId="6CE502AD" w14:textId="77777777" w:rsidR="00563D53" w:rsidRDefault="00563D53" w:rsidP="00563D53">
      <w:pPr>
        <w:pStyle w:val="PlainText"/>
        <w:jc w:val="both"/>
        <w:rPr>
          <w:rFonts w:ascii="Trebuchet MS" w:hAnsi="Trebuchet MS"/>
          <w:sz w:val="20"/>
          <w:szCs w:val="20"/>
        </w:rPr>
      </w:pPr>
      <w:r>
        <w:rPr>
          <w:rFonts w:ascii="Trebuchet MS" w:hAnsi="Trebuchet MS"/>
          <w:sz w:val="20"/>
          <w:szCs w:val="20"/>
        </w:rPr>
        <w:t xml:space="preserve">The new equity combined with strategic </w:t>
      </w:r>
      <w:r w:rsidRPr="00722B94">
        <w:rPr>
          <w:rFonts w:ascii="Trebuchet MS" w:hAnsi="Trebuchet MS"/>
          <w:sz w:val="20"/>
          <w:szCs w:val="20"/>
        </w:rPr>
        <w:t>South African asset sales of R559m and</w:t>
      </w:r>
      <w:r>
        <w:rPr>
          <w:rFonts w:ascii="Trebuchet MS" w:hAnsi="Trebuchet MS"/>
          <w:sz w:val="20"/>
          <w:szCs w:val="20"/>
        </w:rPr>
        <w:t xml:space="preserve"> </w:t>
      </w:r>
      <w:r w:rsidRPr="00722B94">
        <w:rPr>
          <w:rFonts w:ascii="Trebuchet MS" w:hAnsi="Trebuchet MS"/>
          <w:sz w:val="20"/>
          <w:szCs w:val="20"/>
        </w:rPr>
        <w:t xml:space="preserve">R864.8m </w:t>
      </w:r>
      <w:r>
        <w:rPr>
          <w:rFonts w:ascii="Trebuchet MS" w:hAnsi="Trebuchet MS"/>
          <w:sz w:val="20"/>
          <w:szCs w:val="20"/>
        </w:rPr>
        <w:t xml:space="preserve">being </w:t>
      </w:r>
      <w:r w:rsidRPr="00722B94">
        <w:rPr>
          <w:rFonts w:ascii="Trebuchet MS" w:hAnsi="Trebuchet MS"/>
          <w:sz w:val="20"/>
          <w:szCs w:val="20"/>
        </w:rPr>
        <w:t xml:space="preserve">retained </w:t>
      </w:r>
      <w:r>
        <w:rPr>
          <w:rFonts w:ascii="Trebuchet MS" w:hAnsi="Trebuchet MS"/>
          <w:sz w:val="20"/>
          <w:szCs w:val="20"/>
        </w:rPr>
        <w:t>for FY21 after income</w:t>
      </w:r>
      <w:r w:rsidRPr="00722B94">
        <w:rPr>
          <w:rFonts w:ascii="Trebuchet MS" w:hAnsi="Trebuchet MS"/>
          <w:sz w:val="20"/>
          <w:szCs w:val="20"/>
        </w:rPr>
        <w:t xml:space="preserve"> tax</w:t>
      </w:r>
      <w:r>
        <w:rPr>
          <w:rFonts w:ascii="Trebuchet MS" w:hAnsi="Trebuchet MS"/>
          <w:sz w:val="20"/>
          <w:szCs w:val="20"/>
        </w:rPr>
        <w:t>, in line with an</w:t>
      </w:r>
      <w:r w:rsidRPr="00722B94">
        <w:rPr>
          <w:rFonts w:ascii="Trebuchet MS" w:hAnsi="Trebuchet MS"/>
          <w:sz w:val="20"/>
          <w:szCs w:val="20"/>
        </w:rPr>
        <w:t xml:space="preserve"> 80% pay-out ratio</w:t>
      </w:r>
      <w:r>
        <w:rPr>
          <w:rFonts w:ascii="Trebuchet MS" w:hAnsi="Trebuchet MS"/>
          <w:sz w:val="20"/>
          <w:szCs w:val="20"/>
        </w:rPr>
        <w:t>, added</w:t>
      </w:r>
      <w:r w:rsidRPr="00722B94">
        <w:rPr>
          <w:rFonts w:ascii="Trebuchet MS" w:hAnsi="Trebuchet MS"/>
          <w:sz w:val="20"/>
          <w:szCs w:val="20"/>
        </w:rPr>
        <w:t xml:space="preserve"> R6.3bn </w:t>
      </w:r>
      <w:r>
        <w:rPr>
          <w:rFonts w:ascii="Trebuchet MS" w:hAnsi="Trebuchet MS"/>
          <w:sz w:val="20"/>
          <w:szCs w:val="20"/>
        </w:rPr>
        <w:t>to Growthpoint’s liquidity. This significantly strengthened its balance sheet.</w:t>
      </w:r>
    </w:p>
    <w:p w14:paraId="28A4870F" w14:textId="77777777" w:rsidR="00563D53" w:rsidRPr="00722B94" w:rsidRDefault="00563D53" w:rsidP="00563D53">
      <w:pPr>
        <w:pStyle w:val="PlainText"/>
        <w:jc w:val="both"/>
        <w:rPr>
          <w:rFonts w:ascii="Trebuchet MS" w:hAnsi="Trebuchet MS"/>
          <w:sz w:val="20"/>
          <w:szCs w:val="20"/>
        </w:rPr>
      </w:pPr>
    </w:p>
    <w:p w14:paraId="4ADE069E" w14:textId="77777777" w:rsidR="00563D53" w:rsidRPr="00722B94" w:rsidRDefault="00563D53" w:rsidP="00563D53">
      <w:pPr>
        <w:jc w:val="both"/>
        <w:rPr>
          <w:rFonts w:cstheme="minorBidi"/>
          <w:i/>
          <w:iCs/>
          <w:sz w:val="20"/>
          <w:szCs w:val="20"/>
        </w:rPr>
      </w:pPr>
      <w:r w:rsidRPr="00722B94">
        <w:rPr>
          <w:sz w:val="20"/>
          <w:szCs w:val="20"/>
        </w:rPr>
        <w:t>Norbert Sasse, Group CEO of Growthpoint Properties, comments,</w:t>
      </w:r>
      <w:r w:rsidRPr="00722B94">
        <w:rPr>
          <w:i/>
          <w:iCs/>
          <w:sz w:val="20"/>
          <w:szCs w:val="20"/>
        </w:rPr>
        <w:t xml:space="preserve"> “Growthpoint’s diversification by geography, sector and income stream has buffered performance in an unprecedented environment, supported by our deliberate prioritisation of liquidity,</w:t>
      </w:r>
      <w:r w:rsidRPr="00722B94">
        <w:rPr>
          <w:rFonts w:eastAsiaTheme="minorHAnsi" w:cstheme="minorBidi"/>
          <w:i/>
          <w:iCs/>
          <w:sz w:val="20"/>
          <w:szCs w:val="20"/>
        </w:rPr>
        <w:t xml:space="preserve"> </w:t>
      </w:r>
      <w:r w:rsidRPr="00722B94">
        <w:rPr>
          <w:rFonts w:cstheme="minorBidi"/>
          <w:i/>
          <w:iCs/>
          <w:sz w:val="20"/>
          <w:szCs w:val="20"/>
        </w:rPr>
        <w:t>balance sheet strength and quality of earnings. These results show a very healthy and stable business with lower gearing and R6bn-plus of new liquidity, enabling us to pursue our strategic initiatives and declare a dividend of 80% of distributable income. We are committed to retaining our REIT status and paying dividends twice a year of at least 75% of distributable income.”</w:t>
      </w:r>
    </w:p>
    <w:p w14:paraId="42B0AFC5" w14:textId="77777777" w:rsidR="00563D53" w:rsidRPr="00722B94" w:rsidRDefault="00563D53" w:rsidP="00563D53">
      <w:pPr>
        <w:pStyle w:val="PlainText"/>
        <w:jc w:val="both"/>
        <w:rPr>
          <w:rFonts w:ascii="Trebuchet MS" w:hAnsi="Trebuchet MS"/>
          <w:sz w:val="20"/>
          <w:szCs w:val="20"/>
        </w:rPr>
      </w:pPr>
    </w:p>
    <w:p w14:paraId="0F53E047" w14:textId="77777777" w:rsidR="00563D53" w:rsidRPr="00722B94" w:rsidRDefault="00563D53" w:rsidP="00563D53">
      <w:pPr>
        <w:jc w:val="both"/>
        <w:rPr>
          <w:sz w:val="20"/>
          <w:szCs w:val="20"/>
        </w:rPr>
      </w:pPr>
      <w:r w:rsidRPr="00722B94">
        <w:rPr>
          <w:rFonts w:cstheme="minorBidi"/>
          <w:sz w:val="20"/>
          <w:szCs w:val="20"/>
        </w:rPr>
        <w:t xml:space="preserve">The positive outcomes of Growthpoint’s focus on liquidity and balance sheet strength are evident in the decrease of its </w:t>
      </w:r>
      <w:r w:rsidRPr="00722B94">
        <w:rPr>
          <w:sz w:val="20"/>
          <w:szCs w:val="20"/>
        </w:rPr>
        <w:t xml:space="preserve">consolidated SA REIT loan-to-value (LTV) from 43.9% to 40.0% during the year, with its SA LTV reducing from 39.8% to 35.1% and interest cover ratio (ICR) of 3.2x. </w:t>
      </w:r>
    </w:p>
    <w:p w14:paraId="1FCFB0C1" w14:textId="77777777" w:rsidR="00563D53" w:rsidRPr="00722B94" w:rsidRDefault="00563D53" w:rsidP="00563D53">
      <w:pPr>
        <w:jc w:val="both"/>
        <w:rPr>
          <w:sz w:val="20"/>
          <w:szCs w:val="20"/>
        </w:rPr>
      </w:pPr>
    </w:p>
    <w:p w14:paraId="7DBC8EFC" w14:textId="77777777" w:rsidR="00563D53" w:rsidRPr="00722B94" w:rsidRDefault="00563D53" w:rsidP="00563D53">
      <w:pPr>
        <w:jc w:val="both"/>
        <w:rPr>
          <w:color w:val="000000" w:themeColor="text1"/>
          <w:sz w:val="20"/>
          <w:szCs w:val="20"/>
        </w:rPr>
      </w:pPr>
      <w:r w:rsidRPr="00722B94">
        <w:rPr>
          <w:sz w:val="20"/>
          <w:szCs w:val="20"/>
        </w:rPr>
        <w:t xml:space="preserve">Growthpoint achieved these healthy loan-to-value levels despite a further </w:t>
      </w:r>
      <w:r>
        <w:rPr>
          <w:sz w:val="20"/>
          <w:szCs w:val="20"/>
        </w:rPr>
        <w:t>7</w:t>
      </w:r>
      <w:r w:rsidRPr="00722B94">
        <w:rPr>
          <w:sz w:val="20"/>
          <w:szCs w:val="20"/>
        </w:rPr>
        <w:t>.4% devaluation of its SA portfolio, which has decreased in value by 16.</w:t>
      </w:r>
      <w:r>
        <w:rPr>
          <w:sz w:val="20"/>
          <w:szCs w:val="20"/>
        </w:rPr>
        <w:t>2</w:t>
      </w:r>
      <w:r w:rsidRPr="00722B94">
        <w:rPr>
          <w:sz w:val="20"/>
          <w:szCs w:val="20"/>
        </w:rPr>
        <w:t xml:space="preserve">% since COVID-19 first appeared in SA. </w:t>
      </w:r>
      <w:r w:rsidRPr="00722B94">
        <w:rPr>
          <w:color w:val="000000" w:themeColor="text1"/>
          <w:sz w:val="20"/>
          <w:szCs w:val="20"/>
        </w:rPr>
        <w:t>Over the past two financial year-ends, Growthpoint’s SA portfolio value has been written down by R12.5bn</w:t>
      </w:r>
      <w:r w:rsidRPr="00722B94">
        <w:rPr>
          <w:sz w:val="20"/>
          <w:szCs w:val="20"/>
        </w:rPr>
        <w:t xml:space="preserve"> as a consequence of poor property fundamentals driven mainly by income uncertainty from the country’s economic challenges.</w:t>
      </w:r>
      <w:r w:rsidRPr="00722B94">
        <w:rPr>
          <w:color w:val="000000" w:themeColor="text1"/>
          <w:sz w:val="20"/>
          <w:szCs w:val="20"/>
        </w:rPr>
        <w:t xml:space="preserve"> </w:t>
      </w:r>
    </w:p>
    <w:p w14:paraId="45C66690" w14:textId="77777777" w:rsidR="00563D53" w:rsidRPr="00722B94" w:rsidRDefault="00563D53" w:rsidP="00563D53">
      <w:pPr>
        <w:jc w:val="both"/>
        <w:rPr>
          <w:color w:val="000000" w:themeColor="text1"/>
          <w:sz w:val="20"/>
          <w:szCs w:val="20"/>
        </w:rPr>
      </w:pPr>
    </w:p>
    <w:p w14:paraId="67597674" w14:textId="77777777" w:rsidR="00563D53" w:rsidRPr="00654957" w:rsidRDefault="00563D53" w:rsidP="00563D53">
      <w:pPr>
        <w:pStyle w:val="PlainText"/>
        <w:jc w:val="both"/>
        <w:rPr>
          <w:rFonts w:ascii="Trebuchet MS" w:hAnsi="Trebuchet MS"/>
          <w:sz w:val="20"/>
          <w:szCs w:val="20"/>
        </w:rPr>
      </w:pPr>
      <w:r w:rsidRPr="00654957">
        <w:rPr>
          <w:rFonts w:ascii="Trebuchet MS" w:hAnsi="Trebuchet MS"/>
          <w:sz w:val="20"/>
          <w:szCs w:val="20"/>
        </w:rPr>
        <w:t xml:space="preserve">As the largest SA primary listed REIT, Growthpoint is the most liquid and tradable way to own commercial property in SA. It is a FTSE/JSE Top 40 Index company, a constituent of the FTSE EPRA/NAREIT Emerging Index, has been included in the FTSE4Good Emerging Index for five successive years and the FTSE/JSE Responsible Investment Index for twelve years. </w:t>
      </w:r>
      <w:r>
        <w:rPr>
          <w:rFonts w:ascii="Trebuchet MS" w:hAnsi="Trebuchet MS"/>
          <w:sz w:val="20"/>
          <w:szCs w:val="20"/>
        </w:rPr>
        <w:t xml:space="preserve">Growthpoint </w:t>
      </w:r>
      <w:r w:rsidRPr="00654957">
        <w:rPr>
          <w:rFonts w:ascii="Trebuchet MS" w:hAnsi="Trebuchet MS"/>
          <w:sz w:val="20"/>
          <w:szCs w:val="20"/>
        </w:rPr>
        <w:t>has</w:t>
      </w:r>
      <w:r>
        <w:rPr>
          <w:rFonts w:ascii="Trebuchet MS" w:hAnsi="Trebuchet MS"/>
          <w:sz w:val="20"/>
          <w:szCs w:val="20"/>
        </w:rPr>
        <w:t xml:space="preserve"> also maintained</w:t>
      </w:r>
      <w:r w:rsidRPr="00654957">
        <w:rPr>
          <w:rFonts w:ascii="Trebuchet MS" w:hAnsi="Trebuchet MS"/>
          <w:sz w:val="20"/>
          <w:szCs w:val="20"/>
        </w:rPr>
        <w:t xml:space="preserve"> a level 2 B-BBEE rating.</w:t>
      </w:r>
    </w:p>
    <w:p w14:paraId="6E223FAB" w14:textId="77777777" w:rsidR="00563D53" w:rsidRPr="00654957" w:rsidRDefault="00563D53" w:rsidP="00563D53">
      <w:pPr>
        <w:pStyle w:val="PlainText"/>
        <w:jc w:val="both"/>
        <w:rPr>
          <w:rFonts w:ascii="Trebuchet MS" w:hAnsi="Trebuchet MS"/>
          <w:sz w:val="20"/>
          <w:szCs w:val="20"/>
        </w:rPr>
      </w:pPr>
    </w:p>
    <w:p w14:paraId="32F162CE" w14:textId="77777777" w:rsidR="00563D53" w:rsidRPr="00722B94" w:rsidRDefault="00563D53" w:rsidP="00563D53">
      <w:pPr>
        <w:pStyle w:val="PlainText"/>
        <w:jc w:val="both"/>
        <w:rPr>
          <w:rFonts w:ascii="Trebuchet MS" w:hAnsi="Trebuchet MS"/>
          <w:sz w:val="20"/>
          <w:szCs w:val="20"/>
        </w:rPr>
      </w:pPr>
      <w:r w:rsidRPr="00654957">
        <w:rPr>
          <w:rFonts w:ascii="Trebuchet MS" w:hAnsi="Trebuchet MS"/>
          <w:sz w:val="20"/>
          <w:szCs w:val="20"/>
        </w:rPr>
        <w:t xml:space="preserve">Growthpoint’s group property assets are valued at R152.8bn. It owns and manages a diversified portfolio of 431 property assets across SA valued at R68.8bn, a 50% interest in the V&amp;A Waterfront, Cape Town, </w:t>
      </w:r>
      <w:r>
        <w:rPr>
          <w:rFonts w:ascii="Trebuchet MS" w:hAnsi="Trebuchet MS"/>
          <w:sz w:val="20"/>
          <w:szCs w:val="20"/>
        </w:rPr>
        <w:t>with its assets valued at R8.8bn</w:t>
      </w:r>
      <w:r w:rsidRPr="00654957">
        <w:rPr>
          <w:rFonts w:ascii="Trebuchet MS" w:hAnsi="Trebuchet MS"/>
          <w:sz w:val="20"/>
          <w:szCs w:val="20"/>
        </w:rPr>
        <w:t xml:space="preserve">, and </w:t>
      </w:r>
      <w:r>
        <w:rPr>
          <w:rFonts w:ascii="Trebuchet MS" w:hAnsi="Trebuchet MS"/>
          <w:sz w:val="20"/>
          <w:szCs w:val="20"/>
        </w:rPr>
        <w:t xml:space="preserve">has </w:t>
      </w:r>
      <w:r w:rsidRPr="00654957">
        <w:rPr>
          <w:rFonts w:ascii="Trebuchet MS" w:hAnsi="Trebuchet MS"/>
          <w:sz w:val="20"/>
          <w:szCs w:val="20"/>
        </w:rPr>
        <w:t xml:space="preserve">R11.7bn in assets under management via its funds management operations. Growthpoint owns 55 properties in Australia valued at R49.5bn through a 62.2% holding in ASX-listed Growthpoint Properties Australia (GOZ) and seven community shopping centres in the UK valued at R10.5bn through its 52.1% investment in LSE- and JSE-listed UK REIT Capital &amp; Regional (C&amp;R). Through its 29.3% investment in LSE AIM-listed </w:t>
      </w:r>
      <w:proofErr w:type="spellStart"/>
      <w:r w:rsidRPr="00654957">
        <w:rPr>
          <w:rFonts w:ascii="Trebuchet MS" w:hAnsi="Trebuchet MS"/>
          <w:sz w:val="20"/>
          <w:szCs w:val="20"/>
        </w:rPr>
        <w:t>Globalworth</w:t>
      </w:r>
      <w:proofErr w:type="spellEnd"/>
      <w:r w:rsidRPr="00654957">
        <w:rPr>
          <w:rFonts w:ascii="Trebuchet MS" w:hAnsi="Trebuchet MS"/>
          <w:sz w:val="20"/>
          <w:szCs w:val="20"/>
        </w:rPr>
        <w:t xml:space="preserve"> Real Estate Investments (GWI), it owns an interest in 66 properties in Romania and Poland, with Growthpoint’s share valued at R15.2bn.</w:t>
      </w:r>
      <w:r w:rsidRPr="00722B94">
        <w:rPr>
          <w:rFonts w:ascii="Trebuchet MS" w:hAnsi="Trebuchet MS"/>
          <w:sz w:val="20"/>
          <w:szCs w:val="20"/>
        </w:rPr>
        <w:t xml:space="preserve"> </w:t>
      </w:r>
    </w:p>
    <w:p w14:paraId="71685106" w14:textId="77777777" w:rsidR="00563D53" w:rsidRPr="00722B94" w:rsidRDefault="00563D53" w:rsidP="00563D53">
      <w:pPr>
        <w:jc w:val="both"/>
        <w:rPr>
          <w:color w:val="000000" w:themeColor="text1"/>
          <w:sz w:val="20"/>
          <w:szCs w:val="20"/>
        </w:rPr>
      </w:pPr>
    </w:p>
    <w:p w14:paraId="49F94B5D" w14:textId="77777777" w:rsidR="00563D53" w:rsidRPr="00722B94" w:rsidRDefault="00563D53" w:rsidP="00563D53">
      <w:pPr>
        <w:jc w:val="both"/>
        <w:rPr>
          <w:color w:val="000000" w:themeColor="text1"/>
          <w:sz w:val="20"/>
          <w:szCs w:val="20"/>
        </w:rPr>
      </w:pPr>
      <w:r>
        <w:rPr>
          <w:color w:val="000000" w:themeColor="text1"/>
          <w:sz w:val="20"/>
          <w:szCs w:val="20"/>
        </w:rPr>
        <w:t>It</w:t>
      </w:r>
      <w:r w:rsidRPr="00722B94">
        <w:rPr>
          <w:color w:val="000000" w:themeColor="text1"/>
          <w:sz w:val="20"/>
          <w:szCs w:val="20"/>
        </w:rPr>
        <w:t xml:space="preserve">s SA portfolio performance improved slightly in FY21, mainly due to fewer COVID-19 discounts and deferrals and the reversal of </w:t>
      </w:r>
      <w:r>
        <w:rPr>
          <w:color w:val="000000" w:themeColor="text1"/>
          <w:sz w:val="20"/>
          <w:szCs w:val="20"/>
        </w:rPr>
        <w:t>R85m</w:t>
      </w:r>
      <w:r w:rsidRPr="00722B94">
        <w:rPr>
          <w:color w:val="000000" w:themeColor="text1"/>
          <w:sz w:val="20"/>
          <w:szCs w:val="20"/>
        </w:rPr>
        <w:t xml:space="preserve"> bad debts previously provided for. </w:t>
      </w:r>
      <w:r>
        <w:rPr>
          <w:color w:val="000000" w:themeColor="text1"/>
          <w:sz w:val="20"/>
          <w:szCs w:val="20"/>
        </w:rPr>
        <w:t xml:space="preserve">Performance in </w:t>
      </w:r>
      <w:r w:rsidRPr="00722B94">
        <w:rPr>
          <w:color w:val="000000" w:themeColor="text1"/>
          <w:sz w:val="20"/>
          <w:szCs w:val="20"/>
        </w:rPr>
        <w:t>S</w:t>
      </w:r>
      <w:r>
        <w:rPr>
          <w:color w:val="000000" w:themeColor="text1"/>
          <w:sz w:val="20"/>
          <w:szCs w:val="20"/>
        </w:rPr>
        <w:t xml:space="preserve">A </w:t>
      </w:r>
      <w:r w:rsidRPr="00722B94">
        <w:rPr>
          <w:color w:val="000000" w:themeColor="text1"/>
          <w:sz w:val="20"/>
          <w:szCs w:val="20"/>
        </w:rPr>
        <w:t xml:space="preserve">was hindered by the substantial disruption to economic and social activity </w:t>
      </w:r>
      <w:r>
        <w:rPr>
          <w:color w:val="000000" w:themeColor="text1"/>
          <w:sz w:val="20"/>
          <w:szCs w:val="20"/>
        </w:rPr>
        <w:t>by</w:t>
      </w:r>
      <w:r w:rsidRPr="00722B94">
        <w:rPr>
          <w:color w:val="000000" w:themeColor="text1"/>
          <w:sz w:val="20"/>
          <w:szCs w:val="20"/>
        </w:rPr>
        <w:t xml:space="preserve"> </w:t>
      </w:r>
      <w:r>
        <w:rPr>
          <w:color w:val="000000" w:themeColor="text1"/>
          <w:sz w:val="20"/>
          <w:szCs w:val="20"/>
        </w:rPr>
        <w:t xml:space="preserve">the extended </w:t>
      </w:r>
      <w:r w:rsidRPr="00722B94">
        <w:rPr>
          <w:color w:val="000000" w:themeColor="text1"/>
          <w:sz w:val="20"/>
          <w:szCs w:val="20"/>
        </w:rPr>
        <w:t>COVID-19 lockdown</w:t>
      </w:r>
      <w:r>
        <w:rPr>
          <w:color w:val="000000" w:themeColor="text1"/>
          <w:sz w:val="20"/>
          <w:szCs w:val="20"/>
        </w:rPr>
        <w:t xml:space="preserve"> periods</w:t>
      </w:r>
      <w:r w:rsidRPr="00722B94">
        <w:rPr>
          <w:color w:val="000000" w:themeColor="text1"/>
          <w:sz w:val="20"/>
          <w:szCs w:val="20"/>
        </w:rPr>
        <w:t>, changing restrictions, and forced work-from-home. Growthpoint has given R475m in discounts</w:t>
      </w:r>
      <w:r>
        <w:rPr>
          <w:color w:val="000000" w:themeColor="text1"/>
          <w:sz w:val="20"/>
          <w:szCs w:val="20"/>
        </w:rPr>
        <w:t xml:space="preserve"> and R191m in rental deferrals</w:t>
      </w:r>
      <w:r w:rsidRPr="00722B94">
        <w:rPr>
          <w:color w:val="000000" w:themeColor="text1"/>
          <w:sz w:val="20"/>
          <w:szCs w:val="20"/>
        </w:rPr>
        <w:t xml:space="preserve"> since the beginning of COVID-19</w:t>
      </w:r>
      <w:r>
        <w:rPr>
          <w:color w:val="000000" w:themeColor="text1"/>
          <w:sz w:val="20"/>
          <w:szCs w:val="20"/>
        </w:rPr>
        <w:t xml:space="preserve"> in April 2020-</w:t>
      </w:r>
      <w:r w:rsidRPr="00722B94">
        <w:rPr>
          <w:color w:val="000000" w:themeColor="text1"/>
          <w:sz w:val="20"/>
          <w:szCs w:val="20"/>
        </w:rPr>
        <w:t xml:space="preserve"> a massive </w:t>
      </w:r>
      <w:r>
        <w:rPr>
          <w:color w:val="000000" w:themeColor="text1"/>
          <w:sz w:val="20"/>
          <w:szCs w:val="20"/>
        </w:rPr>
        <w:t xml:space="preserve">contribution by Growthpoint in order </w:t>
      </w:r>
      <w:r w:rsidRPr="00722B94">
        <w:rPr>
          <w:color w:val="000000" w:themeColor="text1"/>
          <w:sz w:val="20"/>
          <w:szCs w:val="20"/>
        </w:rPr>
        <w:t>to sustain its tenant base and support the SA economy</w:t>
      </w:r>
      <w:r>
        <w:rPr>
          <w:color w:val="000000" w:themeColor="text1"/>
          <w:sz w:val="20"/>
          <w:szCs w:val="20"/>
        </w:rPr>
        <w:t>.</w:t>
      </w:r>
    </w:p>
    <w:p w14:paraId="7BCD161C" w14:textId="77777777" w:rsidR="00563D53" w:rsidRPr="00722B94" w:rsidRDefault="00563D53" w:rsidP="00563D53">
      <w:pPr>
        <w:jc w:val="both"/>
        <w:rPr>
          <w:color w:val="000000" w:themeColor="text1"/>
          <w:sz w:val="20"/>
          <w:szCs w:val="20"/>
        </w:rPr>
      </w:pPr>
    </w:p>
    <w:p w14:paraId="05D61C86" w14:textId="77777777" w:rsidR="00563D53" w:rsidRPr="00722B94" w:rsidRDefault="00563D53" w:rsidP="00563D53">
      <w:pPr>
        <w:pStyle w:val="Default"/>
        <w:jc w:val="both"/>
        <w:rPr>
          <w:sz w:val="20"/>
          <w:szCs w:val="20"/>
        </w:rPr>
      </w:pPr>
      <w:r w:rsidRPr="00722B94">
        <w:rPr>
          <w:sz w:val="20"/>
          <w:szCs w:val="20"/>
        </w:rPr>
        <w:t>Growthpoint achieved a 99.7% average rental collection rate for its SA portfolio, and recovered R173m, or 90.1%, of total rental deferrals granted since the onset of the pandemic. It let more than 1.2m square metres of space and maintained a renewal success rate of 65.4%. Arrears decreased from R51</w:t>
      </w:r>
      <w:r>
        <w:rPr>
          <w:sz w:val="20"/>
          <w:szCs w:val="20"/>
        </w:rPr>
        <w:t>2</w:t>
      </w:r>
      <w:r w:rsidRPr="00722B94">
        <w:rPr>
          <w:sz w:val="20"/>
          <w:szCs w:val="20"/>
        </w:rPr>
        <w:t xml:space="preserve">.0m to R308.2m over the year, with </w:t>
      </w:r>
      <w:r>
        <w:rPr>
          <w:sz w:val="20"/>
          <w:szCs w:val="20"/>
        </w:rPr>
        <w:t xml:space="preserve">the </w:t>
      </w:r>
      <w:r w:rsidRPr="00722B94">
        <w:rPr>
          <w:sz w:val="20"/>
          <w:szCs w:val="20"/>
        </w:rPr>
        <w:t>bad debt</w:t>
      </w:r>
      <w:r>
        <w:rPr>
          <w:sz w:val="20"/>
          <w:szCs w:val="20"/>
        </w:rPr>
        <w:t xml:space="preserve"> income statement charge</w:t>
      </w:r>
      <w:r w:rsidRPr="00722B94">
        <w:rPr>
          <w:sz w:val="20"/>
          <w:szCs w:val="20"/>
        </w:rPr>
        <w:t xml:space="preserve"> reducing to R2</w:t>
      </w:r>
      <w:r>
        <w:rPr>
          <w:sz w:val="20"/>
          <w:szCs w:val="20"/>
        </w:rPr>
        <w:t>9</w:t>
      </w:r>
      <w:r w:rsidRPr="00722B94">
        <w:rPr>
          <w:sz w:val="20"/>
          <w:szCs w:val="20"/>
        </w:rPr>
        <w:t xml:space="preserve">.9m from R236.5m. Notwithstanding these successes, portfolio fundamentals continued to erode in a challenging market, with vacancies rising from 9.5% to 11.6% and average rental reversions moving from -6.7% to -14.9%. </w:t>
      </w:r>
    </w:p>
    <w:p w14:paraId="0210E6F9" w14:textId="77777777" w:rsidR="00563D53" w:rsidRPr="00722B94" w:rsidRDefault="00563D53" w:rsidP="00563D53">
      <w:pPr>
        <w:pStyle w:val="Default"/>
        <w:jc w:val="both"/>
        <w:rPr>
          <w:sz w:val="20"/>
          <w:szCs w:val="20"/>
        </w:rPr>
      </w:pPr>
    </w:p>
    <w:p w14:paraId="5D798AF7" w14:textId="77777777" w:rsidR="00563D53" w:rsidRPr="00722B94" w:rsidRDefault="00563D53" w:rsidP="00563D53">
      <w:pPr>
        <w:pStyle w:val="Default"/>
        <w:jc w:val="both"/>
        <w:rPr>
          <w:color w:val="auto"/>
          <w:sz w:val="20"/>
          <w:szCs w:val="20"/>
        </w:rPr>
      </w:pPr>
      <w:r w:rsidRPr="00722B94">
        <w:rPr>
          <w:color w:val="auto"/>
          <w:sz w:val="20"/>
          <w:szCs w:val="20"/>
        </w:rPr>
        <w:t xml:space="preserve">Despite a lack of liquidity and demand, Growthpoint remained committed to right-sizing its portfolio through the strategic sale of non-core assets, a programme which it commenced in its 2017 financial year and has since sold R7.5bn in properties. During the year it sold eight properties for R559m and held </w:t>
      </w:r>
      <w:r>
        <w:rPr>
          <w:color w:val="auto"/>
          <w:sz w:val="20"/>
          <w:szCs w:val="20"/>
        </w:rPr>
        <w:t>eight</w:t>
      </w:r>
      <w:r w:rsidRPr="00722B94">
        <w:rPr>
          <w:color w:val="auto"/>
          <w:sz w:val="20"/>
          <w:szCs w:val="20"/>
        </w:rPr>
        <w:t xml:space="preserve"> valued at R</w:t>
      </w:r>
      <w:r>
        <w:rPr>
          <w:color w:val="auto"/>
          <w:sz w:val="20"/>
          <w:szCs w:val="20"/>
        </w:rPr>
        <w:t>181</w:t>
      </w:r>
      <w:r w:rsidRPr="00722B94">
        <w:rPr>
          <w:color w:val="auto"/>
          <w:sz w:val="20"/>
          <w:szCs w:val="20"/>
        </w:rPr>
        <w:t xml:space="preserve">.2m for sale at year end. It completed strategic acquisitions of R309m and </w:t>
      </w:r>
      <w:r>
        <w:rPr>
          <w:color w:val="auto"/>
          <w:sz w:val="20"/>
          <w:szCs w:val="20"/>
        </w:rPr>
        <w:t>incurred development and capital expenditure of R1bn.</w:t>
      </w:r>
    </w:p>
    <w:p w14:paraId="1AD4FB87" w14:textId="77777777" w:rsidR="00563D53" w:rsidRPr="00722B94" w:rsidRDefault="00563D53" w:rsidP="00563D53">
      <w:pPr>
        <w:pStyle w:val="PlainText"/>
        <w:jc w:val="both"/>
        <w:rPr>
          <w:rFonts w:ascii="Trebuchet MS" w:hAnsi="Trebuchet MS"/>
          <w:sz w:val="20"/>
          <w:szCs w:val="20"/>
        </w:rPr>
      </w:pPr>
    </w:p>
    <w:p w14:paraId="77C233B2" w14:textId="77777777" w:rsidR="00563D53" w:rsidRPr="00722B94" w:rsidRDefault="00563D53" w:rsidP="00563D53">
      <w:pPr>
        <w:jc w:val="both"/>
        <w:rPr>
          <w:sz w:val="20"/>
          <w:szCs w:val="20"/>
        </w:rPr>
      </w:pPr>
      <w:bookmarkStart w:id="0" w:name="_Hlk66098746"/>
      <w:r w:rsidRPr="00722B94">
        <w:rPr>
          <w:sz w:val="20"/>
          <w:szCs w:val="20"/>
        </w:rPr>
        <w:t>The SA retail property portfolio recorded a 1.9% increase in trading densities driven by strong performance from supermarkets, home décor, electronics, and value fashion stores. Smaller and community centres outperformed others in the portfolio. However, it saw a 3.7% decrease in like-for-like net property income due to higher vacancies, significant negative rental reversions, COVID-19 rental relief of R147m in discounts and R</w:t>
      </w:r>
      <w:r>
        <w:rPr>
          <w:sz w:val="20"/>
          <w:szCs w:val="20"/>
        </w:rPr>
        <w:t>4</w:t>
      </w:r>
      <w:r w:rsidRPr="00722B94">
        <w:rPr>
          <w:sz w:val="20"/>
          <w:szCs w:val="20"/>
        </w:rPr>
        <w:t>m in deferrals and lower parking revenue. Business rescues</w:t>
      </w:r>
      <w:r>
        <w:rPr>
          <w:sz w:val="20"/>
          <w:szCs w:val="20"/>
        </w:rPr>
        <w:t xml:space="preserve">, </w:t>
      </w:r>
      <w:r w:rsidRPr="00722B94">
        <w:rPr>
          <w:sz w:val="20"/>
          <w:szCs w:val="20"/>
        </w:rPr>
        <w:t xml:space="preserve">particularly </w:t>
      </w:r>
      <w:proofErr w:type="spellStart"/>
      <w:r w:rsidRPr="00722B94">
        <w:rPr>
          <w:sz w:val="20"/>
          <w:szCs w:val="20"/>
        </w:rPr>
        <w:t>Ster</w:t>
      </w:r>
      <w:proofErr w:type="spellEnd"/>
      <w:r w:rsidRPr="00722B94">
        <w:rPr>
          <w:sz w:val="20"/>
          <w:szCs w:val="20"/>
        </w:rPr>
        <w:t xml:space="preserve"> </w:t>
      </w:r>
      <w:proofErr w:type="spellStart"/>
      <w:r w:rsidRPr="00722B94">
        <w:rPr>
          <w:sz w:val="20"/>
          <w:szCs w:val="20"/>
        </w:rPr>
        <w:t>Kinekor</w:t>
      </w:r>
      <w:proofErr w:type="spellEnd"/>
      <w:r w:rsidRPr="00722B94">
        <w:rPr>
          <w:sz w:val="20"/>
          <w:szCs w:val="20"/>
        </w:rPr>
        <w:t xml:space="preserve"> and CNA, are adding to the challenges. Demand for online retail surged </w:t>
      </w:r>
      <w:r>
        <w:rPr>
          <w:sz w:val="20"/>
          <w:szCs w:val="20"/>
        </w:rPr>
        <w:t>from retailers and online delivery aggregators</w:t>
      </w:r>
      <w:r w:rsidRPr="00722B94">
        <w:rPr>
          <w:sz w:val="20"/>
          <w:szCs w:val="20"/>
        </w:rPr>
        <w:t xml:space="preserve">, </w:t>
      </w:r>
      <w:r>
        <w:rPr>
          <w:sz w:val="20"/>
          <w:szCs w:val="20"/>
        </w:rPr>
        <w:t>with</w:t>
      </w:r>
      <w:r w:rsidRPr="00722B94">
        <w:rPr>
          <w:sz w:val="20"/>
          <w:szCs w:val="20"/>
        </w:rPr>
        <w:t xml:space="preserve"> some services supporting in-store trading, such as Checkers Sixty60, Woolworths Dash, Dis-Chem, and </w:t>
      </w:r>
      <w:proofErr w:type="spellStart"/>
      <w:r w:rsidRPr="00722B94">
        <w:rPr>
          <w:sz w:val="20"/>
          <w:szCs w:val="20"/>
        </w:rPr>
        <w:t>OneCart</w:t>
      </w:r>
      <w:proofErr w:type="spellEnd"/>
      <w:r w:rsidRPr="00722B94">
        <w:rPr>
          <w:sz w:val="20"/>
          <w:szCs w:val="20"/>
        </w:rPr>
        <w:t>. Growthpoint’s centres are adapting and providing facilities to support online retail.</w:t>
      </w:r>
      <w:bookmarkEnd w:id="0"/>
      <w:r w:rsidRPr="00722B94">
        <w:rPr>
          <w:sz w:val="20"/>
          <w:szCs w:val="20"/>
        </w:rPr>
        <w:t xml:space="preserve"> </w:t>
      </w:r>
    </w:p>
    <w:p w14:paraId="704622B5" w14:textId="77777777" w:rsidR="00563D53" w:rsidRPr="00722B94" w:rsidRDefault="00563D53" w:rsidP="00563D53">
      <w:pPr>
        <w:jc w:val="both"/>
        <w:rPr>
          <w:sz w:val="20"/>
          <w:szCs w:val="20"/>
          <w:highlight w:val="yellow"/>
        </w:rPr>
      </w:pPr>
    </w:p>
    <w:p w14:paraId="4DAE5B16" w14:textId="77777777" w:rsidR="00563D53" w:rsidRPr="00722B94" w:rsidRDefault="00563D53" w:rsidP="00563D53">
      <w:pPr>
        <w:jc w:val="both"/>
        <w:rPr>
          <w:sz w:val="20"/>
          <w:szCs w:val="20"/>
        </w:rPr>
      </w:pPr>
      <w:r w:rsidRPr="00722B94">
        <w:rPr>
          <w:sz w:val="20"/>
          <w:szCs w:val="20"/>
        </w:rPr>
        <w:t xml:space="preserve">The contraction of SA’s economy has had a significant impact on the office sector. Growthpoint’s SA office portfolio saw renewal successes improve somewhat, but vacancies rose from 15.4% to 19.9%, primarily in Gauteng and the Sandton area specifically, due to business failures, space downsizing and slow letting stemming from uncertainty. Offices recorded a </w:t>
      </w:r>
      <w:r>
        <w:rPr>
          <w:sz w:val="20"/>
          <w:szCs w:val="20"/>
        </w:rPr>
        <w:t>9.8</w:t>
      </w:r>
      <w:r w:rsidRPr="00722B94">
        <w:rPr>
          <w:sz w:val="20"/>
          <w:szCs w:val="20"/>
        </w:rPr>
        <w:t xml:space="preserve">% decrease in like-for-like net property income due to the increased vacancy level, an oversupply of space, negative rental renewal growth, </w:t>
      </w:r>
      <w:r>
        <w:rPr>
          <w:sz w:val="20"/>
          <w:szCs w:val="20"/>
        </w:rPr>
        <w:t xml:space="preserve">and </w:t>
      </w:r>
      <w:r w:rsidRPr="00722B94">
        <w:rPr>
          <w:sz w:val="20"/>
          <w:szCs w:val="20"/>
        </w:rPr>
        <w:t>COVID-19 rental relief of R33m in discounts and R8m in deferrals</w:t>
      </w:r>
      <w:r>
        <w:rPr>
          <w:sz w:val="20"/>
          <w:szCs w:val="20"/>
        </w:rPr>
        <w:t>.</w:t>
      </w:r>
      <w:r w:rsidRPr="00722B94">
        <w:rPr>
          <w:sz w:val="20"/>
          <w:szCs w:val="20"/>
        </w:rPr>
        <w:t xml:space="preserve"> Government mandated work from home was prolonged by the third wave, but many tenants are keen to return staff to their offices, with a renewed appreciation for the role that offices play in nurturing culture, values, collaboration and leadership</w:t>
      </w:r>
      <w:r>
        <w:rPr>
          <w:sz w:val="20"/>
          <w:szCs w:val="20"/>
        </w:rPr>
        <w:t>,</w:t>
      </w:r>
      <w:r w:rsidRPr="00722B94">
        <w:rPr>
          <w:sz w:val="20"/>
          <w:szCs w:val="20"/>
        </w:rPr>
        <w:t xml:space="preserve"> while recognising the need for flexibility.</w:t>
      </w:r>
    </w:p>
    <w:p w14:paraId="34E93309" w14:textId="77777777" w:rsidR="00563D53" w:rsidRPr="00722B94" w:rsidRDefault="00563D53" w:rsidP="00563D53">
      <w:pPr>
        <w:pStyle w:val="PlainText"/>
        <w:jc w:val="both"/>
        <w:rPr>
          <w:rFonts w:ascii="Trebuchet MS" w:hAnsi="Trebuchet MS"/>
          <w:sz w:val="20"/>
          <w:szCs w:val="20"/>
        </w:rPr>
      </w:pPr>
    </w:p>
    <w:p w14:paraId="7157A427" w14:textId="77777777" w:rsidR="00563D53" w:rsidRPr="00722B94" w:rsidRDefault="00563D53" w:rsidP="00563D53">
      <w:pPr>
        <w:pStyle w:val="PlainText"/>
        <w:jc w:val="both"/>
        <w:rPr>
          <w:rFonts w:ascii="Trebuchet MS" w:hAnsi="Trebuchet MS"/>
          <w:sz w:val="20"/>
          <w:szCs w:val="20"/>
        </w:rPr>
      </w:pPr>
      <w:r w:rsidRPr="00722B94">
        <w:rPr>
          <w:rFonts w:ascii="Trebuchet MS" w:hAnsi="Trebuchet MS"/>
          <w:sz w:val="20"/>
          <w:szCs w:val="20"/>
        </w:rPr>
        <w:t xml:space="preserve">Growthpoint’s industrial portfolio continued to outperform relatively, delivering steady performance with slightly improved like-for-like net property income of -0.9% (FY20: -3.1%), and arrears halved. Despite vacancies increasing from 7.1% to 9.4%, mostly due to an upward trend in business failures, it reported steady escalations but renewal success and growth rates decreased. Growthpoint remains focused on modernising its industrial portfolio and selling non-core industrial assets, especially as there is currently market demand for industrial properties. </w:t>
      </w:r>
    </w:p>
    <w:p w14:paraId="4A415BBC" w14:textId="77777777" w:rsidR="00563D53" w:rsidRPr="00722B94" w:rsidRDefault="00563D53" w:rsidP="00563D53">
      <w:pPr>
        <w:pStyle w:val="PlainText"/>
        <w:jc w:val="both"/>
        <w:rPr>
          <w:rFonts w:ascii="Trebuchet MS" w:hAnsi="Trebuchet MS"/>
          <w:sz w:val="20"/>
          <w:szCs w:val="20"/>
        </w:rPr>
      </w:pPr>
    </w:p>
    <w:p w14:paraId="486926F8" w14:textId="77777777" w:rsidR="00563D53" w:rsidRPr="00722B94" w:rsidRDefault="00563D53" w:rsidP="00563D53">
      <w:pPr>
        <w:jc w:val="both"/>
        <w:rPr>
          <w:sz w:val="20"/>
          <w:szCs w:val="20"/>
        </w:rPr>
      </w:pPr>
      <w:r w:rsidRPr="00722B94">
        <w:rPr>
          <w:i/>
          <w:iCs/>
          <w:sz w:val="20"/>
          <w:szCs w:val="20"/>
        </w:rPr>
        <w:t>“Growthpoint’s strong balance sheet gives us great comfort to face what is likely to be a frustratingly gradual economic recovery in SA, especially as the property sector</w:t>
      </w:r>
      <w:r>
        <w:rPr>
          <w:i/>
          <w:iCs/>
          <w:sz w:val="20"/>
          <w:szCs w:val="20"/>
        </w:rPr>
        <w:t xml:space="preserve"> performance</w:t>
      </w:r>
      <w:r w:rsidRPr="00722B94">
        <w:rPr>
          <w:i/>
          <w:iCs/>
          <w:sz w:val="20"/>
          <w:szCs w:val="20"/>
        </w:rPr>
        <w:t xml:space="preserve"> lags behind most other</w:t>
      </w:r>
      <w:r>
        <w:rPr>
          <w:i/>
          <w:iCs/>
          <w:sz w:val="20"/>
          <w:szCs w:val="20"/>
        </w:rPr>
        <w:t xml:space="preserve"> sectors</w:t>
      </w:r>
      <w:r w:rsidRPr="00722B94">
        <w:rPr>
          <w:i/>
          <w:iCs/>
          <w:sz w:val="20"/>
          <w:szCs w:val="20"/>
        </w:rPr>
        <w:t xml:space="preserve">. After a 7% contraction in 2020, the economy is expected to grow at 4% in 2021. Real GDP is </w:t>
      </w:r>
      <w:r>
        <w:rPr>
          <w:i/>
          <w:iCs/>
          <w:sz w:val="20"/>
          <w:szCs w:val="20"/>
        </w:rPr>
        <w:t>projected</w:t>
      </w:r>
      <w:r w:rsidRPr="00722B94">
        <w:rPr>
          <w:i/>
          <w:iCs/>
          <w:sz w:val="20"/>
          <w:szCs w:val="20"/>
        </w:rPr>
        <w:t xml:space="preserve"> to grow at just less than 2% each year from 2022. So, a multi-year recovery to pre-pandemic levels is inevitable, and the full extent of structural changes in office working are yet unclear. We expect further pressure on operational metrics and more business rescues and liquidations, a lack of liquidity in the market and pressure on valu</w:t>
      </w:r>
      <w:r>
        <w:rPr>
          <w:i/>
          <w:iCs/>
          <w:sz w:val="20"/>
          <w:szCs w:val="20"/>
        </w:rPr>
        <w:t>a</w:t>
      </w:r>
      <w:r w:rsidRPr="00722B94">
        <w:rPr>
          <w:i/>
          <w:iCs/>
          <w:sz w:val="20"/>
          <w:szCs w:val="20"/>
        </w:rPr>
        <w:t>tions. The diversification of our investments across sectors, geographies and income streams, with our improved tenant relationships and commitment to service excellence will serve us well in this environment,”</w:t>
      </w:r>
      <w:r w:rsidRPr="00722B94">
        <w:rPr>
          <w:sz w:val="20"/>
          <w:szCs w:val="20"/>
        </w:rPr>
        <w:t xml:space="preserve"> remarks Sasse.</w:t>
      </w:r>
    </w:p>
    <w:p w14:paraId="0508D29C" w14:textId="77777777" w:rsidR="00563D53" w:rsidRPr="00722B94" w:rsidRDefault="00563D53" w:rsidP="00563D53">
      <w:pPr>
        <w:jc w:val="both"/>
        <w:rPr>
          <w:sz w:val="20"/>
          <w:szCs w:val="20"/>
        </w:rPr>
      </w:pPr>
    </w:p>
    <w:p w14:paraId="3E846E55" w14:textId="77777777" w:rsidR="00563D53" w:rsidRPr="00722B94" w:rsidRDefault="00563D53" w:rsidP="00563D53">
      <w:pPr>
        <w:jc w:val="both"/>
        <w:rPr>
          <w:sz w:val="20"/>
          <w:szCs w:val="20"/>
        </w:rPr>
      </w:pPr>
      <w:r w:rsidRPr="00722B94">
        <w:rPr>
          <w:sz w:val="20"/>
          <w:szCs w:val="20"/>
        </w:rPr>
        <w:t xml:space="preserve">Development expertise continues to be </w:t>
      </w:r>
      <w:r>
        <w:rPr>
          <w:sz w:val="20"/>
          <w:szCs w:val="20"/>
        </w:rPr>
        <w:t xml:space="preserve">a </w:t>
      </w:r>
      <w:r w:rsidRPr="00722B94">
        <w:rPr>
          <w:sz w:val="20"/>
          <w:szCs w:val="20"/>
        </w:rPr>
        <w:t xml:space="preserve">competitive advantage for Growthpoint. It creates opportunities to generate profits and supports Growthpoint’s disposal strategy by unlocking the best value from its non-strategic assets. While it doesn’t distribute non-recurring income, Growthpoint’s </w:t>
      </w:r>
      <w:r w:rsidRPr="00722B94">
        <w:rPr>
          <w:sz w:val="20"/>
          <w:szCs w:val="20"/>
        </w:rPr>
        <w:lastRenderedPageBreak/>
        <w:t xml:space="preserve">trading and development activity proved very profitable this year, earning R193m of third-party trading profits, development fees and rental income. </w:t>
      </w:r>
    </w:p>
    <w:p w14:paraId="79898D8A" w14:textId="77777777" w:rsidR="00563D53" w:rsidRPr="00722B94" w:rsidRDefault="00563D53" w:rsidP="00563D53">
      <w:pPr>
        <w:jc w:val="both"/>
        <w:rPr>
          <w:sz w:val="20"/>
          <w:szCs w:val="20"/>
        </w:rPr>
      </w:pPr>
    </w:p>
    <w:p w14:paraId="2D07DF18" w14:textId="77777777" w:rsidR="00563D53" w:rsidRPr="00722B94" w:rsidRDefault="00563D53" w:rsidP="00563D53">
      <w:pPr>
        <w:jc w:val="both"/>
        <w:rPr>
          <w:sz w:val="20"/>
          <w:szCs w:val="20"/>
        </w:rPr>
      </w:pPr>
      <w:r w:rsidRPr="00722B94">
        <w:rPr>
          <w:sz w:val="20"/>
          <w:szCs w:val="20"/>
        </w:rPr>
        <w:t>Considering market conditions, speculative development was temporarily suspended and projects were tenant driven. However, this</w:t>
      </w:r>
      <w:r w:rsidRPr="00722B94">
        <w:rPr>
          <w:rFonts w:cstheme="majorHAnsi"/>
          <w:color w:val="000000" w:themeColor="text1"/>
          <w:sz w:val="20"/>
          <w:szCs w:val="20"/>
        </w:rPr>
        <w:t xml:space="preserve"> function is not limited to the three traditional commercial property sectors of Growthpoint’s core business and can respond to diverse demand and opportunities, including those in healthcare and residential property. Accordingly, Growthpoint completed the development of the specialist surgical </w:t>
      </w:r>
      <w:proofErr w:type="spellStart"/>
      <w:r w:rsidRPr="00722B94">
        <w:rPr>
          <w:rFonts w:cstheme="majorHAnsi"/>
          <w:color w:val="000000" w:themeColor="text1"/>
          <w:sz w:val="20"/>
          <w:szCs w:val="20"/>
        </w:rPr>
        <w:t>Cintocare</w:t>
      </w:r>
      <w:proofErr w:type="spellEnd"/>
      <w:r w:rsidRPr="00722B94">
        <w:rPr>
          <w:rFonts w:cstheme="majorHAnsi"/>
          <w:color w:val="000000" w:themeColor="text1"/>
          <w:sz w:val="20"/>
          <w:szCs w:val="20"/>
        </w:rPr>
        <w:t xml:space="preserve"> Hospital in FY21 and commenced the development of </w:t>
      </w:r>
      <w:r>
        <w:rPr>
          <w:rFonts w:cstheme="majorHAnsi"/>
          <w:color w:val="000000" w:themeColor="text1"/>
          <w:sz w:val="20"/>
          <w:szCs w:val="20"/>
        </w:rPr>
        <w:t xml:space="preserve">sectional title residential apartments for sale called The </w:t>
      </w:r>
      <w:r w:rsidRPr="00722B94">
        <w:rPr>
          <w:rFonts w:cstheme="majorHAnsi"/>
          <w:color w:val="000000" w:themeColor="text1"/>
          <w:sz w:val="20"/>
          <w:szCs w:val="20"/>
        </w:rPr>
        <w:t>Kent</w:t>
      </w:r>
      <w:r>
        <w:rPr>
          <w:rFonts w:cstheme="majorHAnsi"/>
          <w:color w:val="000000" w:themeColor="text1"/>
          <w:sz w:val="20"/>
          <w:szCs w:val="20"/>
        </w:rPr>
        <w:t>,</w:t>
      </w:r>
      <w:r w:rsidRPr="00722B94">
        <w:rPr>
          <w:rFonts w:cstheme="majorHAnsi"/>
          <w:color w:val="000000" w:themeColor="text1"/>
          <w:sz w:val="20"/>
          <w:szCs w:val="20"/>
        </w:rPr>
        <w:t xml:space="preserve"> La Lucia. In keeping with its environmental sustainability drive, Growthpoint approved several solar power projects and expanded existing PV installations in response to new electricity generation regulations. </w:t>
      </w:r>
    </w:p>
    <w:p w14:paraId="22066E38" w14:textId="77777777" w:rsidR="00563D53" w:rsidRPr="00722B94" w:rsidRDefault="00563D53" w:rsidP="00563D53">
      <w:pPr>
        <w:jc w:val="both"/>
        <w:rPr>
          <w:sz w:val="20"/>
          <w:szCs w:val="20"/>
        </w:rPr>
      </w:pPr>
    </w:p>
    <w:p w14:paraId="6BBF0D4B" w14:textId="77777777" w:rsidR="00563D53" w:rsidRPr="00722B94" w:rsidRDefault="00563D53" w:rsidP="00563D53">
      <w:pPr>
        <w:pStyle w:val="Default"/>
        <w:jc w:val="both"/>
        <w:rPr>
          <w:rFonts w:cstheme="minorBidi"/>
          <w:color w:val="auto"/>
          <w:sz w:val="20"/>
          <w:szCs w:val="20"/>
        </w:rPr>
      </w:pPr>
      <w:r>
        <w:rPr>
          <w:sz w:val="20"/>
          <w:szCs w:val="20"/>
        </w:rPr>
        <w:t>The</w:t>
      </w:r>
      <w:r w:rsidRPr="00722B94">
        <w:rPr>
          <w:sz w:val="20"/>
          <w:szCs w:val="20"/>
        </w:rPr>
        <w:t xml:space="preserve"> V&amp;A Waterfront was severely impacted by various</w:t>
      </w:r>
      <w:r w:rsidRPr="00722B94">
        <w:rPr>
          <w:rFonts w:cstheme="minorBidi"/>
          <w:color w:val="auto"/>
          <w:sz w:val="20"/>
          <w:szCs w:val="20"/>
        </w:rPr>
        <w:t xml:space="preserve"> lockdown restrictions, the </w:t>
      </w:r>
      <w:r w:rsidRPr="00722B94">
        <w:rPr>
          <w:color w:val="auto"/>
          <w:sz w:val="20"/>
          <w:szCs w:val="20"/>
        </w:rPr>
        <w:t>absence of foreign tourism, its cruise terminal’s closure, and leisure limitations</w:t>
      </w:r>
      <w:r w:rsidRPr="00722B94">
        <w:rPr>
          <w:rFonts w:cstheme="minorBidi"/>
          <w:color w:val="auto"/>
          <w:sz w:val="20"/>
          <w:szCs w:val="20"/>
        </w:rPr>
        <w:t xml:space="preserve">. Although rental collections have now increased to around 90%, they averaged 69% during the year and net property income declined by 32%. Visitor numbers dropped from 21.6m to 13.7m. </w:t>
      </w:r>
      <w:r w:rsidRPr="003F6DF4">
        <w:rPr>
          <w:rFonts w:cstheme="minorBidi"/>
          <w:sz w:val="20"/>
          <w:szCs w:val="20"/>
          <w:lang w:val="en-ZA"/>
        </w:rPr>
        <w:t>Retail sales steadily increased</w:t>
      </w:r>
      <w:r w:rsidRPr="008565BF">
        <w:rPr>
          <w:rFonts w:cstheme="minorBidi"/>
          <w:b/>
          <w:bCs/>
          <w:sz w:val="20"/>
          <w:szCs w:val="20"/>
          <w:lang w:val="en-ZA"/>
        </w:rPr>
        <w:t xml:space="preserve"> </w:t>
      </w:r>
      <w:r w:rsidRPr="008565BF">
        <w:rPr>
          <w:rFonts w:cstheme="minorBidi"/>
          <w:sz w:val="20"/>
          <w:szCs w:val="20"/>
          <w:lang w:val="en-ZA"/>
        </w:rPr>
        <w:t>until the harsher lockdown restrictions were imposed from June 2021 due to th</w:t>
      </w:r>
      <w:r>
        <w:rPr>
          <w:rFonts w:cstheme="minorBidi"/>
          <w:sz w:val="20"/>
          <w:szCs w:val="20"/>
          <w:lang w:val="en-ZA"/>
        </w:rPr>
        <w:t>e third</w:t>
      </w:r>
      <w:r w:rsidRPr="008565BF">
        <w:rPr>
          <w:rFonts w:cstheme="minorBidi"/>
          <w:sz w:val="20"/>
          <w:szCs w:val="20"/>
          <w:lang w:val="en-ZA"/>
        </w:rPr>
        <w:t xml:space="preserve"> wave of COVID-19</w:t>
      </w:r>
      <w:r>
        <w:rPr>
          <w:rFonts w:cstheme="minorBidi"/>
          <w:sz w:val="20"/>
          <w:szCs w:val="20"/>
          <w:lang w:val="en-ZA"/>
        </w:rPr>
        <w:t xml:space="preserve"> infections. </w:t>
      </w:r>
      <w:r w:rsidRPr="00722B94">
        <w:rPr>
          <w:rFonts w:cstheme="minorBidi"/>
          <w:color w:val="auto"/>
          <w:sz w:val="20"/>
          <w:szCs w:val="20"/>
        </w:rPr>
        <w:t xml:space="preserve">Retail vacancies remain a low 2.5% with strong demand. </w:t>
      </w:r>
      <w:r w:rsidRPr="00722B94">
        <w:rPr>
          <w:color w:val="auto"/>
          <w:sz w:val="20"/>
          <w:szCs w:val="20"/>
        </w:rPr>
        <w:t>The V&amp;A’s robust office portfolio proved resilient</w:t>
      </w:r>
      <w:r>
        <w:rPr>
          <w:color w:val="auto"/>
          <w:sz w:val="20"/>
          <w:szCs w:val="20"/>
        </w:rPr>
        <w:t xml:space="preserve">, </w:t>
      </w:r>
      <w:r w:rsidRPr="00722B94">
        <w:rPr>
          <w:color w:val="auto"/>
          <w:sz w:val="20"/>
          <w:szCs w:val="20"/>
        </w:rPr>
        <w:t>occupied by around 65% blue-chip tenants</w:t>
      </w:r>
      <w:r>
        <w:rPr>
          <w:color w:val="auto"/>
          <w:sz w:val="20"/>
          <w:szCs w:val="20"/>
        </w:rPr>
        <w:t xml:space="preserve"> supporting</w:t>
      </w:r>
      <w:r w:rsidRPr="00722B94">
        <w:rPr>
          <w:color w:val="auto"/>
          <w:sz w:val="20"/>
          <w:szCs w:val="20"/>
        </w:rPr>
        <w:t xml:space="preserve"> low vacancies of 3.4%. All hotels except the Commodore </w:t>
      </w:r>
      <w:r>
        <w:rPr>
          <w:color w:val="auto"/>
          <w:sz w:val="20"/>
          <w:szCs w:val="20"/>
        </w:rPr>
        <w:t xml:space="preserve">have </w:t>
      </w:r>
      <w:r w:rsidRPr="00722B94">
        <w:rPr>
          <w:color w:val="auto"/>
          <w:sz w:val="20"/>
          <w:szCs w:val="20"/>
        </w:rPr>
        <w:t>reopened but occupancy rates remained low</w:t>
      </w:r>
      <w:r>
        <w:rPr>
          <w:color w:val="auto"/>
          <w:sz w:val="20"/>
          <w:szCs w:val="20"/>
        </w:rPr>
        <w:t xml:space="preserve">. The </w:t>
      </w:r>
      <w:r w:rsidRPr="00722B94">
        <w:rPr>
          <w:color w:val="auto"/>
          <w:sz w:val="20"/>
          <w:szCs w:val="20"/>
        </w:rPr>
        <w:t xml:space="preserve">fishing industry traded and paid rental throughout the period. Casual shipping and yachting remained strong. </w:t>
      </w:r>
      <w:r w:rsidRPr="00722B94">
        <w:rPr>
          <w:rFonts w:cstheme="minorBidi"/>
          <w:color w:val="auto"/>
          <w:sz w:val="20"/>
          <w:szCs w:val="20"/>
        </w:rPr>
        <w:t xml:space="preserve">The V&amp;A’s contribution to Growthpoint’s income decreased </w:t>
      </w:r>
      <w:r>
        <w:rPr>
          <w:rFonts w:cstheme="minorBidi"/>
          <w:color w:val="auto"/>
          <w:sz w:val="20"/>
          <w:szCs w:val="20"/>
        </w:rPr>
        <w:t xml:space="preserve">by </w:t>
      </w:r>
      <w:r w:rsidRPr="00722B94">
        <w:rPr>
          <w:rFonts w:cstheme="minorBidi"/>
          <w:color w:val="auto"/>
          <w:sz w:val="20"/>
          <w:szCs w:val="20"/>
        </w:rPr>
        <w:t>40% in FY21.</w:t>
      </w:r>
    </w:p>
    <w:p w14:paraId="1B6DE3DE" w14:textId="77777777" w:rsidR="00563D53" w:rsidRPr="00722B94" w:rsidRDefault="00563D53" w:rsidP="00563D53">
      <w:pPr>
        <w:pStyle w:val="Default"/>
        <w:jc w:val="both"/>
        <w:rPr>
          <w:color w:val="auto"/>
          <w:sz w:val="20"/>
          <w:szCs w:val="20"/>
        </w:rPr>
      </w:pPr>
    </w:p>
    <w:p w14:paraId="61CB8B98" w14:textId="77777777" w:rsidR="00563D53" w:rsidRPr="00722B94" w:rsidRDefault="00563D53" w:rsidP="00563D53">
      <w:pPr>
        <w:pStyle w:val="PlainText"/>
        <w:jc w:val="both"/>
        <w:rPr>
          <w:rFonts w:ascii="Trebuchet MS" w:hAnsi="Trebuchet MS"/>
          <w:sz w:val="20"/>
          <w:szCs w:val="20"/>
        </w:rPr>
      </w:pPr>
      <w:r w:rsidRPr="00722B94">
        <w:rPr>
          <w:rFonts w:ascii="Trebuchet MS" w:hAnsi="Trebuchet MS"/>
          <w:sz w:val="20"/>
          <w:szCs w:val="20"/>
        </w:rPr>
        <w:t>“</w:t>
      </w:r>
      <w:r w:rsidRPr="00722B94">
        <w:rPr>
          <w:rFonts w:ascii="Trebuchet MS" w:hAnsi="Trebuchet MS"/>
          <w:i/>
          <w:iCs/>
          <w:sz w:val="20"/>
          <w:szCs w:val="20"/>
        </w:rPr>
        <w:t xml:space="preserve">The return of international tourism, events and leisure travel is critical for the Waterfront, which remains a strong asset with solid property fundamentals,” </w:t>
      </w:r>
      <w:r w:rsidRPr="003F6DF4">
        <w:rPr>
          <w:rFonts w:ascii="Trebuchet MS" w:hAnsi="Trebuchet MS"/>
          <w:sz w:val="20"/>
          <w:szCs w:val="20"/>
        </w:rPr>
        <w:t>says Sasse</w:t>
      </w:r>
      <w:r w:rsidRPr="00722B94">
        <w:rPr>
          <w:rFonts w:ascii="Trebuchet MS" w:hAnsi="Trebuchet MS"/>
          <w:i/>
          <w:iCs/>
          <w:sz w:val="20"/>
          <w:szCs w:val="20"/>
        </w:rPr>
        <w:t>.</w:t>
      </w:r>
    </w:p>
    <w:p w14:paraId="58B73F27" w14:textId="77777777" w:rsidR="00563D53" w:rsidRPr="00722B94" w:rsidRDefault="00563D53" w:rsidP="00563D53">
      <w:pPr>
        <w:pStyle w:val="Default"/>
        <w:jc w:val="both"/>
        <w:rPr>
          <w:color w:val="auto"/>
          <w:sz w:val="20"/>
          <w:szCs w:val="20"/>
          <w:highlight w:val="yellow"/>
        </w:rPr>
      </w:pPr>
    </w:p>
    <w:p w14:paraId="08FE9B74" w14:textId="77777777" w:rsidR="00563D53" w:rsidRPr="00722B94" w:rsidRDefault="00563D53" w:rsidP="00563D53">
      <w:pPr>
        <w:pStyle w:val="PlainText"/>
        <w:jc w:val="both"/>
        <w:rPr>
          <w:rFonts w:ascii="Trebuchet MS" w:hAnsi="Trebuchet MS"/>
          <w:sz w:val="20"/>
          <w:szCs w:val="20"/>
        </w:rPr>
      </w:pPr>
      <w:r w:rsidRPr="00722B94">
        <w:rPr>
          <w:rFonts w:ascii="Trebuchet MS" w:hAnsi="Trebuchet MS"/>
          <w:sz w:val="20"/>
          <w:szCs w:val="20"/>
        </w:rPr>
        <w:t>Growthpoint’s capital light funds management strategy allows it to access third party capital and leverage its management strength in the unlisted, co-invest</w:t>
      </w:r>
      <w:r>
        <w:rPr>
          <w:rFonts w:ascii="Trebuchet MS" w:hAnsi="Trebuchet MS"/>
          <w:sz w:val="20"/>
          <w:szCs w:val="20"/>
        </w:rPr>
        <w:t>ment</w:t>
      </w:r>
      <w:r w:rsidRPr="00722B94">
        <w:rPr>
          <w:rFonts w:ascii="Trebuchet MS" w:hAnsi="Trebuchet MS"/>
          <w:sz w:val="20"/>
          <w:szCs w:val="20"/>
        </w:rPr>
        <w:t xml:space="preserve"> environment. Growthpoint continued building its first two funds. During the year, this strategic focus earned Growthpoint R132</w:t>
      </w:r>
      <w:r>
        <w:rPr>
          <w:rFonts w:ascii="Trebuchet MS" w:hAnsi="Trebuchet MS"/>
          <w:sz w:val="20"/>
          <w:szCs w:val="20"/>
        </w:rPr>
        <w:t>.1m in</w:t>
      </w:r>
      <w:r w:rsidRPr="00722B94">
        <w:rPr>
          <w:rFonts w:ascii="Trebuchet MS" w:hAnsi="Trebuchet MS"/>
          <w:sz w:val="20"/>
          <w:szCs w:val="20"/>
        </w:rPr>
        <w:t xml:space="preserve"> dividend</w:t>
      </w:r>
      <w:r>
        <w:rPr>
          <w:rFonts w:ascii="Trebuchet MS" w:hAnsi="Trebuchet MS"/>
          <w:sz w:val="20"/>
          <w:szCs w:val="20"/>
        </w:rPr>
        <w:t>s</w:t>
      </w:r>
      <w:r w:rsidRPr="00722B94">
        <w:rPr>
          <w:rFonts w:ascii="Trebuchet MS" w:hAnsi="Trebuchet MS"/>
          <w:sz w:val="20"/>
          <w:szCs w:val="20"/>
        </w:rPr>
        <w:t xml:space="preserve"> from the healthcare fund</w:t>
      </w:r>
      <w:r>
        <w:rPr>
          <w:rFonts w:ascii="Trebuchet MS" w:hAnsi="Trebuchet MS"/>
          <w:sz w:val="20"/>
          <w:szCs w:val="20"/>
        </w:rPr>
        <w:t xml:space="preserve"> and</w:t>
      </w:r>
      <w:r w:rsidRPr="00722B94">
        <w:rPr>
          <w:rFonts w:ascii="Trebuchet MS" w:hAnsi="Trebuchet MS"/>
          <w:sz w:val="20"/>
          <w:szCs w:val="20"/>
        </w:rPr>
        <w:t xml:space="preserve"> R32.</w:t>
      </w:r>
      <w:r>
        <w:rPr>
          <w:rFonts w:ascii="Trebuchet MS" w:hAnsi="Trebuchet MS"/>
          <w:sz w:val="20"/>
          <w:szCs w:val="20"/>
        </w:rPr>
        <w:t>9</w:t>
      </w:r>
      <w:r w:rsidRPr="00722B94">
        <w:rPr>
          <w:rFonts w:ascii="Trebuchet MS" w:hAnsi="Trebuchet MS"/>
          <w:sz w:val="20"/>
          <w:szCs w:val="20"/>
        </w:rPr>
        <w:t>m for its role in managing th</w:t>
      </w:r>
      <w:r>
        <w:rPr>
          <w:rFonts w:ascii="Trebuchet MS" w:hAnsi="Trebuchet MS"/>
          <w:sz w:val="20"/>
          <w:szCs w:val="20"/>
        </w:rPr>
        <w:t xml:space="preserve">is </w:t>
      </w:r>
      <w:r w:rsidRPr="00722B94">
        <w:rPr>
          <w:rFonts w:ascii="Trebuchet MS" w:hAnsi="Trebuchet MS"/>
          <w:sz w:val="20"/>
          <w:szCs w:val="20"/>
        </w:rPr>
        <w:t>fund. It also received a total maiden dividend of R6.6m from</w:t>
      </w:r>
      <w:r>
        <w:rPr>
          <w:rFonts w:ascii="Trebuchet MS" w:hAnsi="Trebuchet MS"/>
          <w:sz w:val="20"/>
          <w:szCs w:val="20"/>
        </w:rPr>
        <w:t xml:space="preserve"> </w:t>
      </w:r>
      <w:proofErr w:type="spellStart"/>
      <w:r>
        <w:rPr>
          <w:rFonts w:ascii="Trebuchet MS" w:hAnsi="Trebuchet MS"/>
          <w:sz w:val="20"/>
          <w:szCs w:val="20"/>
        </w:rPr>
        <w:t>Lango</w:t>
      </w:r>
      <w:proofErr w:type="spellEnd"/>
      <w:r>
        <w:rPr>
          <w:rFonts w:ascii="Trebuchet MS" w:hAnsi="Trebuchet MS"/>
          <w:sz w:val="20"/>
          <w:szCs w:val="20"/>
        </w:rPr>
        <w:t xml:space="preserve"> Real Estate, its</w:t>
      </w:r>
      <w:r w:rsidRPr="00722B94">
        <w:rPr>
          <w:rFonts w:ascii="Trebuchet MS" w:hAnsi="Trebuchet MS"/>
          <w:sz w:val="20"/>
          <w:szCs w:val="20"/>
        </w:rPr>
        <w:t xml:space="preserve"> Africa fund, which Growthpoint elected to reinvest, and management fees of </w:t>
      </w:r>
      <w:r>
        <w:rPr>
          <w:rFonts w:ascii="Trebuchet MS" w:hAnsi="Trebuchet MS"/>
          <w:sz w:val="20"/>
          <w:szCs w:val="20"/>
        </w:rPr>
        <w:t>R14.0m</w:t>
      </w:r>
    </w:p>
    <w:p w14:paraId="2A9E7447" w14:textId="77777777" w:rsidR="00563D53" w:rsidRPr="00722B94" w:rsidRDefault="00563D53" w:rsidP="00563D53">
      <w:pPr>
        <w:pStyle w:val="PlainText"/>
        <w:jc w:val="both"/>
        <w:rPr>
          <w:rFonts w:ascii="Trebuchet MS" w:hAnsi="Trebuchet MS"/>
          <w:sz w:val="20"/>
          <w:szCs w:val="20"/>
        </w:rPr>
      </w:pPr>
    </w:p>
    <w:p w14:paraId="1BDF980B" w14:textId="77777777" w:rsidR="00563D53" w:rsidRPr="00722B94" w:rsidRDefault="00563D53" w:rsidP="00563D53">
      <w:pPr>
        <w:pStyle w:val="PlainText"/>
        <w:jc w:val="both"/>
        <w:rPr>
          <w:rFonts w:ascii="Trebuchet MS" w:hAnsi="Trebuchet MS"/>
          <w:i/>
          <w:iCs/>
          <w:sz w:val="20"/>
          <w:szCs w:val="20"/>
        </w:rPr>
      </w:pPr>
      <w:r w:rsidRPr="00722B94">
        <w:rPr>
          <w:rFonts w:ascii="Trebuchet MS" w:hAnsi="Trebuchet MS"/>
          <w:sz w:val="20"/>
          <w:szCs w:val="20"/>
        </w:rPr>
        <w:t xml:space="preserve">Sasse explains, </w:t>
      </w:r>
      <w:r w:rsidRPr="00722B94">
        <w:rPr>
          <w:rFonts w:ascii="Trebuchet MS" w:hAnsi="Trebuchet MS"/>
          <w:i/>
          <w:iCs/>
          <w:sz w:val="20"/>
          <w:szCs w:val="20"/>
        </w:rPr>
        <w:t>“Our funds management business is a core strategy. The co-investment and co-management model are effective and particularly attractive in this market, and we are focusing on growing this business. We are excited to be launching our third fund focusing on purpose-buil</w:t>
      </w:r>
      <w:r>
        <w:rPr>
          <w:rFonts w:ascii="Trebuchet MS" w:hAnsi="Trebuchet MS"/>
          <w:i/>
          <w:iCs/>
          <w:sz w:val="20"/>
          <w:szCs w:val="20"/>
        </w:rPr>
        <w:t>t</w:t>
      </w:r>
      <w:r w:rsidRPr="00722B94">
        <w:rPr>
          <w:rFonts w:ascii="Trebuchet MS" w:hAnsi="Trebuchet MS"/>
          <w:i/>
          <w:iCs/>
          <w:sz w:val="20"/>
          <w:szCs w:val="20"/>
        </w:rPr>
        <w:t xml:space="preserve"> student accommodation in October 2021.”</w:t>
      </w:r>
    </w:p>
    <w:p w14:paraId="6BD8A613" w14:textId="77777777" w:rsidR="00563D53" w:rsidRPr="00722B94" w:rsidRDefault="00563D53" w:rsidP="00563D53">
      <w:pPr>
        <w:pStyle w:val="PlainText"/>
        <w:jc w:val="both"/>
        <w:rPr>
          <w:rFonts w:ascii="Trebuchet MS" w:hAnsi="Trebuchet MS"/>
          <w:sz w:val="20"/>
          <w:szCs w:val="20"/>
          <w:highlight w:val="yellow"/>
        </w:rPr>
      </w:pPr>
    </w:p>
    <w:p w14:paraId="71681D10" w14:textId="77777777" w:rsidR="00563D53" w:rsidRPr="00722B94" w:rsidRDefault="00563D53" w:rsidP="00563D53">
      <w:pPr>
        <w:autoSpaceDE w:val="0"/>
        <w:autoSpaceDN w:val="0"/>
        <w:adjustRightInd w:val="0"/>
        <w:jc w:val="both"/>
        <w:rPr>
          <w:color w:val="000000" w:themeColor="text1"/>
          <w:sz w:val="20"/>
          <w:szCs w:val="20"/>
        </w:rPr>
      </w:pPr>
      <w:r w:rsidRPr="00722B94">
        <w:rPr>
          <w:color w:val="000000" w:themeColor="text1"/>
          <w:sz w:val="20"/>
          <w:szCs w:val="20"/>
        </w:rPr>
        <w:t>The healthcare fund, Growthpoint Healthcare Property Holdings (GHPH), in which Growthpoint increased its shareholding to 62.2%</w:t>
      </w:r>
      <w:r>
        <w:rPr>
          <w:color w:val="000000" w:themeColor="text1"/>
          <w:sz w:val="20"/>
          <w:szCs w:val="20"/>
        </w:rPr>
        <w:t>,</w:t>
      </w:r>
      <w:r w:rsidRPr="00722B94">
        <w:rPr>
          <w:color w:val="000000" w:themeColor="text1"/>
          <w:sz w:val="20"/>
          <w:szCs w:val="20"/>
        </w:rPr>
        <w:t xml:space="preserve"> </w:t>
      </w:r>
      <w:r>
        <w:rPr>
          <w:color w:val="000000" w:themeColor="text1"/>
          <w:sz w:val="20"/>
          <w:szCs w:val="20"/>
        </w:rPr>
        <w:t xml:space="preserve">closed the year with </w:t>
      </w:r>
      <w:r w:rsidRPr="00722B94">
        <w:rPr>
          <w:color w:val="000000" w:themeColor="text1"/>
          <w:sz w:val="20"/>
          <w:szCs w:val="20"/>
        </w:rPr>
        <w:t xml:space="preserve">a R2.8bn property portfolio of six hospitals and a medical chamber. </w:t>
      </w:r>
      <w:r>
        <w:rPr>
          <w:color w:val="000000" w:themeColor="text1"/>
          <w:sz w:val="20"/>
          <w:szCs w:val="20"/>
        </w:rPr>
        <w:t>Post year-end</w:t>
      </w:r>
      <w:r w:rsidRPr="00722B94">
        <w:rPr>
          <w:color w:val="000000" w:themeColor="text1"/>
          <w:sz w:val="20"/>
          <w:szCs w:val="20"/>
        </w:rPr>
        <w:t xml:space="preserve"> it </w:t>
      </w:r>
      <w:r>
        <w:rPr>
          <w:color w:val="000000" w:themeColor="text1"/>
          <w:sz w:val="20"/>
          <w:szCs w:val="20"/>
        </w:rPr>
        <w:t>took</w:t>
      </w:r>
      <w:r w:rsidRPr="00722B94">
        <w:rPr>
          <w:color w:val="000000" w:themeColor="text1"/>
          <w:sz w:val="20"/>
          <w:szCs w:val="20"/>
        </w:rPr>
        <w:t xml:space="preserve"> transfer of the R515.6</w:t>
      </w:r>
      <w:r>
        <w:rPr>
          <w:color w:val="000000" w:themeColor="text1"/>
          <w:sz w:val="20"/>
          <w:szCs w:val="20"/>
        </w:rPr>
        <w:t>m</w:t>
      </w:r>
      <w:r w:rsidRPr="00722B94">
        <w:rPr>
          <w:color w:val="000000" w:themeColor="text1"/>
          <w:sz w:val="20"/>
          <w:szCs w:val="20"/>
        </w:rPr>
        <w:t xml:space="preserve"> </w:t>
      </w:r>
      <w:proofErr w:type="spellStart"/>
      <w:r w:rsidRPr="00722B94">
        <w:rPr>
          <w:color w:val="000000" w:themeColor="text1"/>
          <w:sz w:val="20"/>
          <w:szCs w:val="20"/>
        </w:rPr>
        <w:t>Cintocare</w:t>
      </w:r>
      <w:proofErr w:type="spellEnd"/>
      <w:r w:rsidRPr="00722B94">
        <w:rPr>
          <w:color w:val="000000" w:themeColor="text1"/>
          <w:sz w:val="20"/>
          <w:szCs w:val="20"/>
        </w:rPr>
        <w:t xml:space="preserve"> Hospital, developed by Growthpoint in</w:t>
      </w:r>
      <w:r>
        <w:rPr>
          <w:color w:val="000000" w:themeColor="text1"/>
          <w:sz w:val="20"/>
          <w:szCs w:val="20"/>
        </w:rPr>
        <w:t xml:space="preserve"> Menlyn Maine,</w:t>
      </w:r>
      <w:r w:rsidRPr="00722B94">
        <w:rPr>
          <w:color w:val="000000" w:themeColor="text1"/>
          <w:sz w:val="20"/>
          <w:szCs w:val="20"/>
        </w:rPr>
        <w:t xml:space="preserve"> Pretoria. A USD80m equity and convertible debt package from the International Finance Corporation was concluded to finance development and acquisition opportunities, for which the healthcare fund has a good pipeline of around R5bn. This investment is an endorsement of the fund’s robust ESG credentials, which are key considerations for investment by development finance institutions (DFIs) and other institutional investors. </w:t>
      </w:r>
    </w:p>
    <w:p w14:paraId="422FD9E3" w14:textId="77777777" w:rsidR="00563D53" w:rsidRPr="00722B94" w:rsidRDefault="00563D53" w:rsidP="00563D53">
      <w:pPr>
        <w:pStyle w:val="PlainText"/>
        <w:jc w:val="both"/>
        <w:rPr>
          <w:rFonts w:ascii="Trebuchet MS" w:hAnsi="Trebuchet MS"/>
          <w:color w:val="000000" w:themeColor="text1"/>
          <w:sz w:val="20"/>
          <w:szCs w:val="20"/>
        </w:rPr>
      </w:pPr>
    </w:p>
    <w:p w14:paraId="40C6A2AC" w14:textId="77777777" w:rsidR="00563D53" w:rsidRPr="00722B94" w:rsidRDefault="00563D53" w:rsidP="00563D53">
      <w:pPr>
        <w:pStyle w:val="Default"/>
        <w:jc w:val="both"/>
        <w:rPr>
          <w:color w:val="000000" w:themeColor="text1"/>
          <w:sz w:val="20"/>
          <w:szCs w:val="20"/>
        </w:rPr>
      </w:pPr>
      <w:r w:rsidRPr="00722B94">
        <w:rPr>
          <w:rFonts w:cstheme="minorBidi"/>
          <w:color w:val="000000" w:themeColor="text1"/>
          <w:sz w:val="20"/>
          <w:szCs w:val="20"/>
        </w:rPr>
        <w:t xml:space="preserve">Growthpoint has a 16.1% shareholding in </w:t>
      </w:r>
      <w:proofErr w:type="spellStart"/>
      <w:r w:rsidRPr="00722B94">
        <w:rPr>
          <w:color w:val="000000" w:themeColor="text1"/>
          <w:sz w:val="20"/>
          <w:szCs w:val="20"/>
        </w:rPr>
        <w:t>Lango</w:t>
      </w:r>
      <w:proofErr w:type="spellEnd"/>
      <w:r w:rsidRPr="00722B94">
        <w:rPr>
          <w:color w:val="000000" w:themeColor="text1"/>
          <w:sz w:val="20"/>
          <w:szCs w:val="20"/>
        </w:rPr>
        <w:t xml:space="preserve"> (formerly Growthpoint Investec </w:t>
      </w:r>
      <w:r>
        <w:rPr>
          <w:color w:val="000000" w:themeColor="text1"/>
          <w:sz w:val="20"/>
          <w:szCs w:val="20"/>
        </w:rPr>
        <w:t xml:space="preserve">African </w:t>
      </w:r>
      <w:r w:rsidRPr="00722B94">
        <w:rPr>
          <w:color w:val="000000" w:themeColor="text1"/>
          <w:sz w:val="20"/>
          <w:szCs w:val="20"/>
        </w:rPr>
        <w:t>Property Fund), which grew significantly during the year with NAV reaching US</w:t>
      </w:r>
      <w:r>
        <w:rPr>
          <w:color w:val="000000" w:themeColor="text1"/>
          <w:sz w:val="20"/>
          <w:szCs w:val="20"/>
        </w:rPr>
        <w:t>D</w:t>
      </w:r>
      <w:r w:rsidRPr="00722B94">
        <w:rPr>
          <w:color w:val="000000" w:themeColor="text1"/>
          <w:sz w:val="20"/>
          <w:szCs w:val="20"/>
        </w:rPr>
        <w:t>320m. It now</w:t>
      </w:r>
      <w:r w:rsidRPr="00722B94">
        <w:rPr>
          <w:rFonts w:cstheme="minorBidi"/>
          <w:color w:val="000000" w:themeColor="text1"/>
          <w:sz w:val="20"/>
          <w:szCs w:val="20"/>
        </w:rPr>
        <w:t xml:space="preserve"> owns </w:t>
      </w:r>
      <w:r w:rsidRPr="00722B94">
        <w:rPr>
          <w:color w:val="000000" w:themeColor="text1"/>
          <w:sz w:val="20"/>
          <w:szCs w:val="20"/>
        </w:rPr>
        <w:t>a USD600.9m quality portfolio comprising 11 prime office and retail income-producing properties in Ghana, Nigeria</w:t>
      </w:r>
      <w:r>
        <w:rPr>
          <w:color w:val="000000" w:themeColor="text1"/>
          <w:sz w:val="20"/>
          <w:szCs w:val="20"/>
        </w:rPr>
        <w:t xml:space="preserve"> and </w:t>
      </w:r>
      <w:r w:rsidRPr="00722B94">
        <w:rPr>
          <w:color w:val="000000" w:themeColor="text1"/>
          <w:sz w:val="20"/>
          <w:szCs w:val="20"/>
        </w:rPr>
        <w:t xml:space="preserve">Zambia, </w:t>
      </w:r>
      <w:r>
        <w:rPr>
          <w:color w:val="000000" w:themeColor="text1"/>
          <w:sz w:val="20"/>
          <w:szCs w:val="20"/>
        </w:rPr>
        <w:t>after acquiring</w:t>
      </w:r>
      <w:r w:rsidRPr="00722B94">
        <w:rPr>
          <w:color w:val="000000" w:themeColor="text1"/>
          <w:sz w:val="20"/>
          <w:szCs w:val="20"/>
        </w:rPr>
        <w:t xml:space="preserve"> minority stakes in several of its assets during the year. It has commenced its second fundraising period for an exciting pipeline of investment assets. </w:t>
      </w:r>
    </w:p>
    <w:p w14:paraId="1F5B65B8" w14:textId="77777777" w:rsidR="00563D53" w:rsidRPr="00722B94" w:rsidRDefault="00563D53" w:rsidP="00563D53">
      <w:pPr>
        <w:pStyle w:val="Default"/>
        <w:jc w:val="both"/>
        <w:rPr>
          <w:color w:val="auto"/>
          <w:sz w:val="20"/>
          <w:szCs w:val="20"/>
        </w:rPr>
      </w:pPr>
    </w:p>
    <w:p w14:paraId="105A1764" w14:textId="77777777" w:rsidR="00563D53" w:rsidRPr="00722B94" w:rsidRDefault="00563D53" w:rsidP="00563D53">
      <w:pPr>
        <w:jc w:val="both"/>
        <w:rPr>
          <w:color w:val="000000" w:themeColor="text1"/>
          <w:sz w:val="20"/>
          <w:szCs w:val="20"/>
        </w:rPr>
      </w:pPr>
      <w:r w:rsidRPr="00722B94">
        <w:rPr>
          <w:sz w:val="20"/>
          <w:szCs w:val="20"/>
        </w:rPr>
        <w:t xml:space="preserve">The strategic focus of Growthpoint’s international investment approach is being refined. Its offshore investment remained at steady levels of 39.9% of its property assets by book value and 29.1% of earnings before interest and tax. </w:t>
      </w:r>
      <w:r w:rsidRPr="00722B94">
        <w:rPr>
          <w:color w:val="000000" w:themeColor="text1"/>
          <w:sz w:val="20"/>
          <w:szCs w:val="20"/>
        </w:rPr>
        <w:t xml:space="preserve">Its overseas investments bolstered Growthpoint’s performance this year, but the income received from these investments was materially lower. </w:t>
      </w:r>
    </w:p>
    <w:p w14:paraId="6B401F1B" w14:textId="77777777" w:rsidR="00563D53" w:rsidRPr="00722B94" w:rsidRDefault="00563D53" w:rsidP="00563D53">
      <w:pPr>
        <w:pStyle w:val="PlainText"/>
        <w:jc w:val="both"/>
        <w:rPr>
          <w:rFonts w:ascii="Trebuchet MS" w:hAnsi="Trebuchet MS"/>
          <w:sz w:val="20"/>
          <w:szCs w:val="20"/>
        </w:rPr>
      </w:pPr>
    </w:p>
    <w:p w14:paraId="15F64F77" w14:textId="15A06D97" w:rsidR="00563D53" w:rsidRPr="00722B94" w:rsidRDefault="00563D53" w:rsidP="00563D53">
      <w:pPr>
        <w:jc w:val="both"/>
        <w:rPr>
          <w:sz w:val="20"/>
          <w:szCs w:val="20"/>
        </w:rPr>
      </w:pPr>
      <w:r w:rsidRPr="00722B94">
        <w:rPr>
          <w:sz w:val="20"/>
          <w:szCs w:val="20"/>
        </w:rPr>
        <w:t xml:space="preserve">GOZ, with its defensive portfolio of quality office and industrial assets with strong tenancies, is a core investment for Growthpoint. Growthpoint received a dividend from GOZ in AUD of 20.0 cents per share for FY21 in line with guidance but down from 21.8 cents for FY20, reflecting a more conservative pay-out ratio to ensure liquidity and balance sheet strength. </w:t>
      </w:r>
      <w:r w:rsidRPr="00722B94">
        <w:rPr>
          <w:color w:val="000000" w:themeColor="text1"/>
          <w:sz w:val="20"/>
          <w:szCs w:val="20"/>
        </w:rPr>
        <w:t xml:space="preserve">However an impressive 14.2% upwards </w:t>
      </w:r>
      <w:r w:rsidRPr="00722B94">
        <w:rPr>
          <w:color w:val="000000" w:themeColor="text1"/>
          <w:sz w:val="20"/>
          <w:szCs w:val="20"/>
        </w:rPr>
        <w:lastRenderedPageBreak/>
        <w:t>re-valuation of net tangible assets - driven by leasing successes, yield compression on long weighted average lease expiries and industrial assets - benefitted Growthpoint and reflected positively on its balance sheet.</w:t>
      </w:r>
    </w:p>
    <w:p w14:paraId="25533710" w14:textId="77777777" w:rsidR="00563D53" w:rsidRPr="00722B94" w:rsidRDefault="00563D53" w:rsidP="00563D53">
      <w:pPr>
        <w:pStyle w:val="PlainText"/>
        <w:jc w:val="both"/>
        <w:rPr>
          <w:rFonts w:ascii="Trebuchet MS" w:hAnsi="Trebuchet MS"/>
          <w:sz w:val="20"/>
          <w:szCs w:val="20"/>
        </w:rPr>
      </w:pPr>
    </w:p>
    <w:p w14:paraId="04742873" w14:textId="77777777" w:rsidR="00563D53" w:rsidRPr="00722B94" w:rsidRDefault="00563D53" w:rsidP="00563D53">
      <w:pPr>
        <w:pStyle w:val="PlainText"/>
        <w:jc w:val="both"/>
        <w:rPr>
          <w:rFonts w:ascii="Trebuchet MS" w:hAnsi="Trebuchet MS"/>
          <w:sz w:val="20"/>
          <w:szCs w:val="20"/>
        </w:rPr>
      </w:pPr>
      <w:r w:rsidRPr="00722B94">
        <w:rPr>
          <w:rFonts w:ascii="Trebuchet MS" w:hAnsi="Trebuchet MS"/>
          <w:color w:val="000000" w:themeColor="text1"/>
          <w:sz w:val="20"/>
          <w:szCs w:val="20"/>
        </w:rPr>
        <w:t xml:space="preserve">The impact from pandemic lockdowns in Australia was immaterial for GOZ in FY21 - </w:t>
      </w:r>
      <w:r w:rsidRPr="00722B94">
        <w:rPr>
          <w:rFonts w:ascii="Trebuchet MS" w:hAnsi="Trebuchet MS"/>
          <w:sz w:val="20"/>
          <w:szCs w:val="20"/>
        </w:rPr>
        <w:t xml:space="preserve">97% of its tenants are big </w:t>
      </w:r>
      <w:proofErr w:type="spellStart"/>
      <w:r w:rsidRPr="00722B94">
        <w:rPr>
          <w:rFonts w:ascii="Trebuchet MS" w:hAnsi="Trebuchet MS"/>
          <w:sz w:val="20"/>
          <w:szCs w:val="20"/>
        </w:rPr>
        <w:t>corporates</w:t>
      </w:r>
      <w:proofErr w:type="spellEnd"/>
      <w:r w:rsidRPr="00722B94">
        <w:rPr>
          <w:rFonts w:ascii="Trebuchet MS" w:hAnsi="Trebuchet MS"/>
          <w:sz w:val="20"/>
          <w:szCs w:val="20"/>
        </w:rPr>
        <w:t xml:space="preserve"> and government – and </w:t>
      </w:r>
      <w:r w:rsidRPr="00722B94">
        <w:rPr>
          <w:rFonts w:ascii="Trebuchet MS" w:hAnsi="Trebuchet MS"/>
          <w:color w:val="000000" w:themeColor="text1"/>
          <w:sz w:val="20"/>
          <w:szCs w:val="20"/>
        </w:rPr>
        <w:t>continued to perform well. It is in a strong capital position with gearing at</w:t>
      </w:r>
      <w:r>
        <w:rPr>
          <w:rFonts w:ascii="Trebuchet MS" w:hAnsi="Trebuchet MS"/>
          <w:color w:val="000000" w:themeColor="text1"/>
          <w:sz w:val="20"/>
          <w:szCs w:val="20"/>
        </w:rPr>
        <w:t xml:space="preserve"> a</w:t>
      </w:r>
      <w:r w:rsidRPr="00722B94">
        <w:rPr>
          <w:rFonts w:ascii="Trebuchet MS" w:hAnsi="Trebuchet MS"/>
          <w:color w:val="000000" w:themeColor="text1"/>
          <w:sz w:val="20"/>
          <w:szCs w:val="20"/>
        </w:rPr>
        <w:t xml:space="preserve"> historic low</w:t>
      </w:r>
      <w:r>
        <w:rPr>
          <w:rFonts w:ascii="Trebuchet MS" w:hAnsi="Trebuchet MS"/>
          <w:color w:val="000000" w:themeColor="text1"/>
          <w:sz w:val="20"/>
          <w:szCs w:val="20"/>
        </w:rPr>
        <w:t xml:space="preserve"> of 27.9</w:t>
      </w:r>
      <w:r w:rsidRPr="00722B94">
        <w:rPr>
          <w:rFonts w:ascii="Trebuchet MS" w:hAnsi="Trebuchet MS"/>
          <w:sz w:val="20"/>
          <w:szCs w:val="20"/>
        </w:rPr>
        <w:t xml:space="preserve">% with good liquidity of </w:t>
      </w:r>
      <w:r>
        <w:rPr>
          <w:rFonts w:ascii="Trebuchet MS" w:hAnsi="Trebuchet MS"/>
          <w:sz w:val="20"/>
          <w:szCs w:val="20"/>
        </w:rPr>
        <w:t>AUD387m</w:t>
      </w:r>
      <w:r w:rsidRPr="00722B94">
        <w:rPr>
          <w:rFonts w:ascii="Trebuchet MS" w:hAnsi="Trebuchet MS"/>
          <w:sz w:val="20"/>
          <w:szCs w:val="20"/>
        </w:rPr>
        <w:t xml:space="preserve"> available. Its</w:t>
      </w:r>
      <w:r w:rsidRPr="00722B94">
        <w:rPr>
          <w:rFonts w:ascii="Trebuchet MS" w:hAnsi="Trebuchet MS"/>
          <w:color w:val="000000" w:themeColor="text1"/>
          <w:sz w:val="20"/>
          <w:szCs w:val="20"/>
        </w:rPr>
        <w:t xml:space="preserve"> portfolio metrics are in great shape.</w:t>
      </w:r>
      <w:r w:rsidRPr="00722B94">
        <w:rPr>
          <w:rFonts w:ascii="Trebuchet MS" w:hAnsi="Trebuchet MS"/>
          <w:sz w:val="20"/>
          <w:szCs w:val="20"/>
        </w:rPr>
        <w:t xml:space="preserve"> Rental collection rates remained at 99% throughout the year, and portfolio occupancy increased to 97%. Significant longer-term leases were signed in FY21 for an average of 8.2 years taking the portfolio’s weighted average lease expiry to 6.2 years. </w:t>
      </w:r>
    </w:p>
    <w:p w14:paraId="774069C3" w14:textId="77777777" w:rsidR="00563D53" w:rsidRPr="00722B94" w:rsidRDefault="00563D53" w:rsidP="00563D53">
      <w:pPr>
        <w:pStyle w:val="PlainText"/>
        <w:jc w:val="both"/>
        <w:rPr>
          <w:rFonts w:ascii="Trebuchet MS" w:hAnsi="Trebuchet MS"/>
          <w:sz w:val="20"/>
          <w:szCs w:val="20"/>
        </w:rPr>
      </w:pPr>
    </w:p>
    <w:p w14:paraId="7D26618F" w14:textId="77777777" w:rsidR="00563D53" w:rsidRPr="00722B94" w:rsidRDefault="00563D53" w:rsidP="00563D53">
      <w:pPr>
        <w:pStyle w:val="PlainText"/>
        <w:jc w:val="both"/>
        <w:rPr>
          <w:rFonts w:ascii="Trebuchet MS" w:hAnsi="Trebuchet MS"/>
          <w:sz w:val="20"/>
          <w:szCs w:val="20"/>
        </w:rPr>
      </w:pPr>
      <w:r w:rsidRPr="00722B94">
        <w:rPr>
          <w:rFonts w:ascii="Trebuchet MS" w:hAnsi="Trebuchet MS"/>
          <w:i/>
          <w:iCs/>
          <w:sz w:val="20"/>
          <w:szCs w:val="20"/>
        </w:rPr>
        <w:t>“GOZ is in the best shape it has ever been. Faster economic recovery is expected for Australia, and this market offers opportunities for property acquisitions, funds management and corporate actions. GOZ’s quality portfolio is well positioned for pleasing performance,”</w:t>
      </w:r>
      <w:r w:rsidRPr="00722B94">
        <w:rPr>
          <w:rFonts w:ascii="Trebuchet MS" w:hAnsi="Trebuchet MS"/>
          <w:sz w:val="20"/>
          <w:szCs w:val="20"/>
        </w:rPr>
        <w:t xml:space="preserve"> reports Sasse. GOZ has guided a 3.0% increased distribution of AUD</w:t>
      </w:r>
      <w:r>
        <w:rPr>
          <w:rFonts w:ascii="Trebuchet MS" w:hAnsi="Trebuchet MS"/>
          <w:sz w:val="20"/>
          <w:szCs w:val="20"/>
        </w:rPr>
        <w:t>20.6</w:t>
      </w:r>
      <w:r w:rsidRPr="00722B94">
        <w:rPr>
          <w:rFonts w:ascii="Trebuchet MS" w:hAnsi="Trebuchet MS"/>
          <w:sz w:val="20"/>
          <w:szCs w:val="20"/>
        </w:rPr>
        <w:t>cents per share for its 202</w:t>
      </w:r>
      <w:r>
        <w:rPr>
          <w:rFonts w:ascii="Trebuchet MS" w:hAnsi="Trebuchet MS"/>
          <w:sz w:val="20"/>
          <w:szCs w:val="20"/>
        </w:rPr>
        <w:t>2</w:t>
      </w:r>
      <w:r w:rsidRPr="00722B94">
        <w:rPr>
          <w:rFonts w:ascii="Trebuchet MS" w:hAnsi="Trebuchet MS"/>
          <w:sz w:val="20"/>
          <w:szCs w:val="20"/>
        </w:rPr>
        <w:t xml:space="preserve"> financial year. </w:t>
      </w:r>
    </w:p>
    <w:p w14:paraId="4479B7BD" w14:textId="77777777" w:rsidR="00563D53" w:rsidRPr="00722B94" w:rsidRDefault="00563D53" w:rsidP="00563D53">
      <w:pPr>
        <w:pStyle w:val="PlainText"/>
        <w:jc w:val="both"/>
        <w:rPr>
          <w:rFonts w:ascii="Trebuchet MS" w:hAnsi="Trebuchet MS"/>
          <w:sz w:val="20"/>
          <w:szCs w:val="20"/>
        </w:rPr>
      </w:pPr>
    </w:p>
    <w:p w14:paraId="0C8AB331" w14:textId="77777777" w:rsidR="00563D53" w:rsidRPr="00722B94" w:rsidRDefault="00563D53" w:rsidP="00563D53">
      <w:pPr>
        <w:pStyle w:val="hv"/>
        <w:spacing w:before="0" w:beforeAutospacing="0" w:after="0" w:afterAutospacing="0"/>
        <w:jc w:val="both"/>
        <w:rPr>
          <w:rFonts w:ascii="Trebuchet MS" w:hAnsi="Trebuchet MS"/>
          <w:color w:val="000000" w:themeColor="text1"/>
          <w:sz w:val="20"/>
          <w:szCs w:val="20"/>
        </w:rPr>
      </w:pPr>
      <w:r w:rsidRPr="00722B94">
        <w:rPr>
          <w:rFonts w:ascii="Trebuchet MS" w:hAnsi="Trebuchet MS"/>
          <w:color w:val="000000" w:themeColor="text1"/>
          <w:sz w:val="20"/>
          <w:szCs w:val="20"/>
        </w:rPr>
        <w:t xml:space="preserve">Growthpoint’s Central and Eastern European investment platform, </w:t>
      </w:r>
      <w:proofErr w:type="spellStart"/>
      <w:r w:rsidRPr="00722B94">
        <w:rPr>
          <w:rFonts w:ascii="Trebuchet MS" w:hAnsi="Trebuchet MS"/>
          <w:color w:val="000000" w:themeColor="text1"/>
          <w:sz w:val="20"/>
          <w:szCs w:val="20"/>
        </w:rPr>
        <w:t>Globalworth</w:t>
      </w:r>
      <w:proofErr w:type="spellEnd"/>
      <w:r w:rsidRPr="00722B94">
        <w:rPr>
          <w:rFonts w:ascii="Trebuchet MS" w:hAnsi="Trebuchet MS"/>
          <w:color w:val="000000" w:themeColor="text1"/>
          <w:sz w:val="20"/>
          <w:szCs w:val="20"/>
        </w:rPr>
        <w:t xml:space="preserve">, comprises office and industrial assets, with little retail property. It has 37 assets in Poland and 29 in Romania. </w:t>
      </w:r>
      <w:r w:rsidRPr="00722B94">
        <w:rPr>
          <w:rFonts w:ascii="Trebuchet MS" w:hAnsi="Trebuchet MS"/>
          <w:sz w:val="20"/>
          <w:szCs w:val="20"/>
        </w:rPr>
        <w:t>It delivered a solid performance overall, albeit that retaining EUR460 cash to reinforce balance sheet strength resulted in an opportunity cost and significantly reduced distributions to Growthpoint to EUR30 cents</w:t>
      </w:r>
      <w:r>
        <w:rPr>
          <w:rFonts w:ascii="Trebuchet MS" w:hAnsi="Trebuchet MS"/>
          <w:sz w:val="20"/>
          <w:szCs w:val="20"/>
        </w:rPr>
        <w:t xml:space="preserve"> per share </w:t>
      </w:r>
      <w:r w:rsidRPr="00722B94">
        <w:rPr>
          <w:rFonts w:ascii="Trebuchet MS" w:hAnsi="Trebuchet MS"/>
          <w:sz w:val="20"/>
          <w:szCs w:val="20"/>
        </w:rPr>
        <w:t xml:space="preserve">for FY21 from EUR49 cents </w:t>
      </w:r>
      <w:r>
        <w:rPr>
          <w:rFonts w:ascii="Trebuchet MS" w:hAnsi="Trebuchet MS"/>
          <w:sz w:val="20"/>
          <w:szCs w:val="20"/>
        </w:rPr>
        <w:t xml:space="preserve">per share </w:t>
      </w:r>
      <w:r w:rsidRPr="00722B94">
        <w:rPr>
          <w:rFonts w:ascii="Trebuchet MS" w:hAnsi="Trebuchet MS"/>
          <w:sz w:val="20"/>
          <w:szCs w:val="20"/>
        </w:rPr>
        <w:t xml:space="preserve">for FY20. </w:t>
      </w:r>
      <w:r w:rsidRPr="00722B94">
        <w:rPr>
          <w:rFonts w:ascii="Trebuchet MS" w:hAnsi="Trebuchet MS"/>
          <w:color w:val="000000" w:themeColor="text1"/>
          <w:sz w:val="20"/>
          <w:szCs w:val="20"/>
        </w:rPr>
        <w:t xml:space="preserve">The consortium of CPI Property Group and </w:t>
      </w:r>
      <w:proofErr w:type="spellStart"/>
      <w:r w:rsidRPr="00722B94">
        <w:rPr>
          <w:rFonts w:ascii="Trebuchet MS" w:hAnsi="Trebuchet MS"/>
          <w:color w:val="000000" w:themeColor="text1"/>
          <w:sz w:val="20"/>
          <w:szCs w:val="20"/>
        </w:rPr>
        <w:t>Aroundtown</w:t>
      </w:r>
      <w:proofErr w:type="spellEnd"/>
      <w:r w:rsidRPr="00722B94">
        <w:rPr>
          <w:rFonts w:ascii="Trebuchet MS" w:hAnsi="Trebuchet MS"/>
          <w:color w:val="000000" w:themeColor="text1"/>
          <w:sz w:val="20"/>
          <w:szCs w:val="20"/>
        </w:rPr>
        <w:t xml:space="preserve"> now holds 60.6% of share capital</w:t>
      </w:r>
      <w:r>
        <w:rPr>
          <w:rFonts w:ascii="Trebuchet MS" w:hAnsi="Trebuchet MS"/>
          <w:color w:val="000000" w:themeColor="text1"/>
          <w:sz w:val="20"/>
          <w:szCs w:val="20"/>
        </w:rPr>
        <w:t xml:space="preserve"> of GWI</w:t>
      </w:r>
      <w:r w:rsidRPr="00722B94">
        <w:rPr>
          <w:rFonts w:ascii="Trebuchet MS" w:hAnsi="Trebuchet MS"/>
          <w:color w:val="000000" w:themeColor="text1"/>
          <w:sz w:val="20"/>
          <w:szCs w:val="20"/>
        </w:rPr>
        <w:t xml:space="preserve">, following the completion of a cash </w:t>
      </w:r>
      <w:r>
        <w:rPr>
          <w:rFonts w:ascii="Trebuchet MS" w:hAnsi="Trebuchet MS"/>
          <w:color w:val="000000" w:themeColor="text1"/>
          <w:sz w:val="20"/>
          <w:szCs w:val="20"/>
        </w:rPr>
        <w:t>offer for</w:t>
      </w:r>
      <w:r w:rsidRPr="00722B94">
        <w:rPr>
          <w:rFonts w:ascii="Trebuchet MS" w:hAnsi="Trebuchet MS"/>
          <w:color w:val="000000" w:themeColor="text1"/>
          <w:sz w:val="20"/>
          <w:szCs w:val="20"/>
        </w:rPr>
        <w:t xml:space="preserve"> </w:t>
      </w:r>
      <w:proofErr w:type="spellStart"/>
      <w:r w:rsidRPr="00722B94">
        <w:rPr>
          <w:rFonts w:ascii="Trebuchet MS" w:hAnsi="Trebuchet MS"/>
          <w:color w:val="000000" w:themeColor="text1"/>
          <w:sz w:val="20"/>
          <w:szCs w:val="20"/>
        </w:rPr>
        <w:t>Globalworth</w:t>
      </w:r>
      <w:proofErr w:type="spellEnd"/>
      <w:r w:rsidRPr="00722B94">
        <w:rPr>
          <w:rFonts w:ascii="Trebuchet MS" w:hAnsi="Trebuchet MS"/>
          <w:color w:val="000000" w:themeColor="text1"/>
          <w:sz w:val="20"/>
          <w:szCs w:val="20"/>
        </w:rPr>
        <w:t xml:space="preserve"> shares at EUR7.00 per share, which Growthpoint did not accept. </w:t>
      </w:r>
    </w:p>
    <w:p w14:paraId="400916FF" w14:textId="77777777" w:rsidR="00563D53" w:rsidRPr="00722B94" w:rsidRDefault="00563D53" w:rsidP="00563D53">
      <w:pPr>
        <w:pStyle w:val="PlainText"/>
        <w:jc w:val="both"/>
        <w:rPr>
          <w:rFonts w:ascii="Trebuchet MS" w:hAnsi="Trebuchet MS"/>
          <w:sz w:val="20"/>
          <w:szCs w:val="20"/>
        </w:rPr>
      </w:pPr>
    </w:p>
    <w:p w14:paraId="37C41751" w14:textId="77777777" w:rsidR="00563D53" w:rsidRPr="00722B94" w:rsidRDefault="00563D53" w:rsidP="00563D53">
      <w:pPr>
        <w:pStyle w:val="PlainText"/>
        <w:jc w:val="both"/>
        <w:rPr>
          <w:rFonts w:ascii="Trebuchet MS" w:hAnsi="Trebuchet MS"/>
          <w:color w:val="000000" w:themeColor="text1"/>
          <w:sz w:val="20"/>
          <w:szCs w:val="20"/>
        </w:rPr>
      </w:pPr>
      <w:proofErr w:type="spellStart"/>
      <w:r>
        <w:rPr>
          <w:rFonts w:ascii="Trebuchet MS" w:hAnsi="Trebuchet MS"/>
          <w:sz w:val="20"/>
          <w:szCs w:val="20"/>
        </w:rPr>
        <w:t>G</w:t>
      </w:r>
      <w:r w:rsidRPr="00722B94">
        <w:rPr>
          <w:rFonts w:ascii="Trebuchet MS" w:hAnsi="Trebuchet MS"/>
          <w:sz w:val="20"/>
          <w:szCs w:val="20"/>
        </w:rPr>
        <w:t>lobalworth</w:t>
      </w:r>
      <w:proofErr w:type="spellEnd"/>
      <w:r w:rsidRPr="00722B94">
        <w:rPr>
          <w:rFonts w:ascii="Trebuchet MS" w:hAnsi="Trebuchet MS"/>
          <w:sz w:val="20"/>
          <w:szCs w:val="20"/>
        </w:rPr>
        <w:t xml:space="preserve"> proved defensive</w:t>
      </w:r>
      <w:r>
        <w:rPr>
          <w:rFonts w:ascii="Trebuchet MS" w:hAnsi="Trebuchet MS"/>
          <w:sz w:val="20"/>
          <w:szCs w:val="20"/>
        </w:rPr>
        <w:t xml:space="preserve"> and</w:t>
      </w:r>
      <w:r w:rsidRPr="00722B94">
        <w:rPr>
          <w:rFonts w:ascii="Trebuchet MS" w:hAnsi="Trebuchet MS"/>
          <w:sz w:val="20"/>
          <w:szCs w:val="20"/>
        </w:rPr>
        <w:t xml:space="preserve"> relatively unaffected by the pandemic, with rental collections at 98.7%</w:t>
      </w:r>
      <w:r>
        <w:rPr>
          <w:rFonts w:ascii="Trebuchet MS" w:hAnsi="Trebuchet MS"/>
          <w:sz w:val="20"/>
          <w:szCs w:val="20"/>
        </w:rPr>
        <w:t xml:space="preserve"> and </w:t>
      </w:r>
      <w:r w:rsidRPr="00722B94">
        <w:rPr>
          <w:rFonts w:ascii="Trebuchet MS" w:hAnsi="Trebuchet MS"/>
          <w:sz w:val="20"/>
          <w:szCs w:val="20"/>
        </w:rPr>
        <w:t xml:space="preserve">a </w:t>
      </w:r>
      <w:r w:rsidRPr="00722B94">
        <w:rPr>
          <w:rFonts w:ascii="Trebuchet MS" w:hAnsi="Trebuchet MS"/>
          <w:color w:val="000000" w:themeColor="text1"/>
          <w:sz w:val="20"/>
          <w:szCs w:val="20"/>
        </w:rPr>
        <w:t xml:space="preserve">portfolio occupancy of 88.7% </w:t>
      </w:r>
      <w:r>
        <w:rPr>
          <w:rFonts w:ascii="Trebuchet MS" w:hAnsi="Trebuchet MS"/>
          <w:color w:val="000000" w:themeColor="text1"/>
          <w:sz w:val="20"/>
          <w:szCs w:val="20"/>
          <w:lang w:val="en-ZA"/>
        </w:rPr>
        <w:t>with the r</w:t>
      </w:r>
      <w:r w:rsidRPr="002C21F0">
        <w:rPr>
          <w:rFonts w:ascii="Trebuchet MS" w:hAnsi="Trebuchet MS"/>
          <w:color w:val="000000" w:themeColor="text1"/>
          <w:sz w:val="20"/>
          <w:szCs w:val="20"/>
          <w:lang w:val="en-ZA"/>
        </w:rPr>
        <w:t>eal estate market remain</w:t>
      </w:r>
      <w:r>
        <w:rPr>
          <w:rFonts w:ascii="Trebuchet MS" w:hAnsi="Trebuchet MS"/>
          <w:color w:val="000000" w:themeColor="text1"/>
          <w:sz w:val="20"/>
          <w:szCs w:val="20"/>
          <w:lang w:val="en-ZA"/>
        </w:rPr>
        <w:t>ing</w:t>
      </w:r>
      <w:r w:rsidRPr="002C21F0">
        <w:rPr>
          <w:rFonts w:ascii="Trebuchet MS" w:hAnsi="Trebuchet MS"/>
          <w:color w:val="000000" w:themeColor="text1"/>
          <w:sz w:val="20"/>
          <w:szCs w:val="20"/>
          <w:lang w:val="en-ZA"/>
        </w:rPr>
        <w:t xml:space="preserve"> challenging</w:t>
      </w:r>
      <w:r>
        <w:rPr>
          <w:rFonts w:ascii="Trebuchet MS" w:hAnsi="Trebuchet MS"/>
          <w:color w:val="000000" w:themeColor="text1"/>
          <w:sz w:val="20"/>
          <w:szCs w:val="20"/>
          <w:lang w:val="en-ZA"/>
        </w:rPr>
        <w:t xml:space="preserve"> and</w:t>
      </w:r>
      <w:r w:rsidRPr="002C21F0">
        <w:rPr>
          <w:rFonts w:ascii="Trebuchet MS" w:hAnsi="Trebuchet MS"/>
          <w:color w:val="000000" w:themeColor="text1"/>
          <w:sz w:val="20"/>
          <w:szCs w:val="20"/>
          <w:lang w:val="en-ZA"/>
        </w:rPr>
        <w:t xml:space="preserve"> the economic slowdown and associated uncertainty regarding the pace of future economic growth due to COVID-19 impact</w:t>
      </w:r>
      <w:r>
        <w:rPr>
          <w:rFonts w:ascii="Trebuchet MS" w:hAnsi="Trebuchet MS"/>
          <w:color w:val="000000" w:themeColor="text1"/>
          <w:sz w:val="20"/>
          <w:szCs w:val="20"/>
          <w:lang w:val="en-ZA"/>
        </w:rPr>
        <w:t>ing</w:t>
      </w:r>
      <w:r w:rsidRPr="002C21F0">
        <w:rPr>
          <w:rFonts w:ascii="Trebuchet MS" w:hAnsi="Trebuchet MS"/>
          <w:color w:val="000000" w:themeColor="text1"/>
          <w:sz w:val="20"/>
          <w:szCs w:val="20"/>
          <w:lang w:val="en-ZA"/>
        </w:rPr>
        <w:t xml:space="preserve"> </w:t>
      </w:r>
      <w:r w:rsidRPr="003F6DF4">
        <w:rPr>
          <w:rFonts w:ascii="Trebuchet MS" w:hAnsi="Trebuchet MS"/>
          <w:color w:val="000000" w:themeColor="text1"/>
          <w:sz w:val="20"/>
          <w:szCs w:val="20"/>
          <w:lang w:val="en-ZA"/>
        </w:rPr>
        <w:t>demand for real estate</w:t>
      </w:r>
      <w:r w:rsidRPr="002C21F0">
        <w:rPr>
          <w:rFonts w:ascii="Trebuchet MS" w:hAnsi="Trebuchet MS"/>
          <w:b/>
          <w:bCs/>
          <w:color w:val="000000" w:themeColor="text1"/>
          <w:sz w:val="20"/>
          <w:szCs w:val="20"/>
          <w:lang w:val="en-ZA"/>
        </w:rPr>
        <w:t xml:space="preserve"> </w:t>
      </w:r>
      <w:r w:rsidRPr="002C21F0">
        <w:rPr>
          <w:rFonts w:ascii="Trebuchet MS" w:hAnsi="Trebuchet MS"/>
          <w:color w:val="000000" w:themeColor="text1"/>
          <w:sz w:val="20"/>
          <w:szCs w:val="20"/>
          <w:lang w:val="en-ZA"/>
        </w:rPr>
        <w:t>space</w:t>
      </w:r>
      <w:r w:rsidRPr="00722B94">
        <w:rPr>
          <w:rFonts w:ascii="Trebuchet MS" w:hAnsi="Trebuchet MS"/>
          <w:color w:val="000000" w:themeColor="text1"/>
          <w:sz w:val="20"/>
          <w:szCs w:val="20"/>
        </w:rPr>
        <w:t xml:space="preserve">. </w:t>
      </w:r>
      <w:proofErr w:type="spellStart"/>
      <w:r>
        <w:rPr>
          <w:rFonts w:ascii="Trebuchet MS" w:hAnsi="Trebuchet MS"/>
          <w:color w:val="000000" w:themeColor="text1"/>
          <w:sz w:val="20"/>
          <w:szCs w:val="20"/>
        </w:rPr>
        <w:t>Globalworth</w:t>
      </w:r>
      <w:proofErr w:type="spellEnd"/>
      <w:r w:rsidRPr="00722B94">
        <w:rPr>
          <w:rFonts w:ascii="Trebuchet MS" w:hAnsi="Trebuchet MS"/>
          <w:color w:val="000000" w:themeColor="text1"/>
          <w:sz w:val="20"/>
          <w:szCs w:val="20"/>
        </w:rPr>
        <w:t xml:space="preserve"> has a strong balance sheet and is conservatively geared with an LTV of 39.2%.</w:t>
      </w:r>
    </w:p>
    <w:p w14:paraId="78BF60BB" w14:textId="77777777" w:rsidR="00563D53" w:rsidRPr="00722B94" w:rsidRDefault="00563D53" w:rsidP="00563D53">
      <w:pPr>
        <w:pStyle w:val="PlainText"/>
        <w:jc w:val="both"/>
        <w:rPr>
          <w:rFonts w:ascii="Trebuchet MS" w:hAnsi="Trebuchet MS"/>
          <w:color w:val="000000" w:themeColor="text1"/>
          <w:sz w:val="20"/>
          <w:szCs w:val="20"/>
        </w:rPr>
      </w:pPr>
    </w:p>
    <w:p w14:paraId="60EECBC2" w14:textId="77777777" w:rsidR="00563D53" w:rsidRPr="00722B94" w:rsidRDefault="00563D53" w:rsidP="00563D53">
      <w:pPr>
        <w:pStyle w:val="hv"/>
        <w:spacing w:before="0" w:beforeAutospacing="0" w:after="0" w:afterAutospacing="0"/>
        <w:jc w:val="both"/>
        <w:rPr>
          <w:rFonts w:ascii="Trebuchet MS" w:hAnsi="Trebuchet MS"/>
          <w:i/>
          <w:iCs/>
          <w:sz w:val="20"/>
          <w:szCs w:val="20"/>
        </w:rPr>
      </w:pPr>
      <w:r w:rsidRPr="00722B94">
        <w:rPr>
          <w:rFonts w:ascii="Trebuchet MS" w:hAnsi="Trebuchet MS"/>
          <w:i/>
          <w:iCs/>
          <w:color w:val="000000" w:themeColor="text1"/>
          <w:sz w:val="20"/>
          <w:szCs w:val="20"/>
        </w:rPr>
        <w:t>“</w:t>
      </w:r>
      <w:r>
        <w:rPr>
          <w:rFonts w:ascii="Trebuchet MS" w:hAnsi="Trebuchet MS"/>
          <w:i/>
          <w:iCs/>
          <w:color w:val="000000" w:themeColor="text1"/>
          <w:sz w:val="20"/>
          <w:szCs w:val="20"/>
        </w:rPr>
        <w:t>O</w:t>
      </w:r>
      <w:r w:rsidRPr="00722B94">
        <w:rPr>
          <w:rFonts w:ascii="Trebuchet MS" w:hAnsi="Trebuchet MS"/>
          <w:i/>
          <w:iCs/>
          <w:color w:val="000000" w:themeColor="text1"/>
          <w:sz w:val="20"/>
          <w:szCs w:val="20"/>
        </w:rPr>
        <w:t xml:space="preserve">ffice demand and rental dynamics </w:t>
      </w:r>
      <w:r>
        <w:rPr>
          <w:rFonts w:ascii="Trebuchet MS" w:hAnsi="Trebuchet MS"/>
          <w:i/>
          <w:iCs/>
          <w:color w:val="000000" w:themeColor="text1"/>
          <w:sz w:val="20"/>
          <w:szCs w:val="20"/>
        </w:rPr>
        <w:t>are likely to</w:t>
      </w:r>
      <w:r w:rsidRPr="00722B94">
        <w:rPr>
          <w:rFonts w:ascii="Trebuchet MS" w:hAnsi="Trebuchet MS"/>
          <w:i/>
          <w:iCs/>
          <w:color w:val="000000" w:themeColor="text1"/>
          <w:sz w:val="20"/>
          <w:szCs w:val="20"/>
        </w:rPr>
        <w:t xml:space="preserve"> </w:t>
      </w:r>
      <w:r>
        <w:rPr>
          <w:rFonts w:ascii="Trebuchet MS" w:hAnsi="Trebuchet MS"/>
          <w:i/>
          <w:iCs/>
          <w:color w:val="000000" w:themeColor="text1"/>
          <w:sz w:val="20"/>
          <w:szCs w:val="20"/>
        </w:rPr>
        <w:t>exert</w:t>
      </w:r>
      <w:r w:rsidRPr="00722B94">
        <w:rPr>
          <w:rFonts w:ascii="Trebuchet MS" w:hAnsi="Trebuchet MS"/>
          <w:i/>
          <w:iCs/>
          <w:color w:val="000000" w:themeColor="text1"/>
          <w:sz w:val="20"/>
          <w:szCs w:val="20"/>
        </w:rPr>
        <w:t xml:space="preserve"> some pressure going forward</w:t>
      </w:r>
      <w:r>
        <w:rPr>
          <w:rFonts w:ascii="Trebuchet MS" w:hAnsi="Trebuchet MS"/>
          <w:i/>
          <w:iCs/>
          <w:color w:val="000000" w:themeColor="text1"/>
          <w:sz w:val="20"/>
          <w:szCs w:val="20"/>
        </w:rPr>
        <w:t>, but</w:t>
      </w:r>
      <w:r w:rsidRPr="00722B94">
        <w:rPr>
          <w:rFonts w:ascii="Trebuchet MS" w:hAnsi="Trebuchet MS"/>
          <w:i/>
          <w:iCs/>
          <w:color w:val="000000" w:themeColor="text1"/>
          <w:sz w:val="20"/>
          <w:szCs w:val="20"/>
        </w:rPr>
        <w:t xml:space="preserve"> </w:t>
      </w:r>
      <w:proofErr w:type="spellStart"/>
      <w:r>
        <w:rPr>
          <w:rFonts w:ascii="Trebuchet MS" w:hAnsi="Trebuchet MS"/>
          <w:i/>
          <w:iCs/>
          <w:color w:val="000000" w:themeColor="text1"/>
          <w:sz w:val="20"/>
          <w:szCs w:val="20"/>
        </w:rPr>
        <w:t>Globalworth’s</w:t>
      </w:r>
      <w:proofErr w:type="spellEnd"/>
      <w:r w:rsidRPr="00722B94">
        <w:rPr>
          <w:rFonts w:ascii="Trebuchet MS" w:hAnsi="Trebuchet MS"/>
          <w:i/>
          <w:iCs/>
          <w:sz w:val="20"/>
          <w:szCs w:val="20"/>
        </w:rPr>
        <w:t xml:space="preserve"> strong balance sheet</w:t>
      </w:r>
      <w:r>
        <w:rPr>
          <w:rFonts w:ascii="Trebuchet MS" w:hAnsi="Trebuchet MS"/>
          <w:i/>
          <w:iCs/>
          <w:sz w:val="20"/>
          <w:szCs w:val="20"/>
        </w:rPr>
        <w:t>, cash available to deploy</w:t>
      </w:r>
      <w:r w:rsidRPr="00722B94">
        <w:rPr>
          <w:rFonts w:ascii="Trebuchet MS" w:hAnsi="Trebuchet MS"/>
          <w:i/>
          <w:iCs/>
          <w:sz w:val="20"/>
          <w:szCs w:val="20"/>
        </w:rPr>
        <w:t xml:space="preserve"> and a solid base of multinational tenants which favour the region, stand it in good stead</w:t>
      </w:r>
      <w:r w:rsidRPr="00722B94">
        <w:rPr>
          <w:rFonts w:ascii="Trebuchet MS" w:hAnsi="Trebuchet MS"/>
          <w:i/>
          <w:iCs/>
          <w:color w:val="000000" w:themeColor="text1"/>
          <w:sz w:val="20"/>
          <w:szCs w:val="20"/>
        </w:rPr>
        <w:t xml:space="preserve">,” </w:t>
      </w:r>
      <w:r w:rsidRPr="003F6DF4">
        <w:rPr>
          <w:rFonts w:ascii="Trebuchet MS" w:hAnsi="Trebuchet MS"/>
          <w:color w:val="000000" w:themeColor="text1"/>
          <w:sz w:val="20"/>
          <w:szCs w:val="20"/>
        </w:rPr>
        <w:t>notes Sasse</w:t>
      </w:r>
      <w:r w:rsidRPr="00722B94">
        <w:rPr>
          <w:rFonts w:ascii="Trebuchet MS" w:hAnsi="Trebuchet MS"/>
          <w:i/>
          <w:iCs/>
          <w:color w:val="000000" w:themeColor="text1"/>
          <w:sz w:val="20"/>
          <w:szCs w:val="20"/>
        </w:rPr>
        <w:t>.”</w:t>
      </w:r>
    </w:p>
    <w:p w14:paraId="440BCBFC" w14:textId="77777777" w:rsidR="00563D53" w:rsidRPr="00722B94" w:rsidRDefault="00563D53" w:rsidP="00563D53">
      <w:pPr>
        <w:pStyle w:val="PlainText"/>
        <w:jc w:val="both"/>
        <w:rPr>
          <w:rFonts w:ascii="Trebuchet MS" w:hAnsi="Trebuchet MS"/>
          <w:sz w:val="20"/>
          <w:szCs w:val="20"/>
        </w:rPr>
      </w:pPr>
    </w:p>
    <w:p w14:paraId="139D5BB7" w14:textId="1C458FBA" w:rsidR="00563D53" w:rsidRPr="00722B94" w:rsidRDefault="00563D53" w:rsidP="00563D53">
      <w:pPr>
        <w:jc w:val="both"/>
        <w:rPr>
          <w:color w:val="000000" w:themeColor="text1"/>
          <w:sz w:val="20"/>
          <w:szCs w:val="20"/>
        </w:rPr>
      </w:pPr>
      <w:r w:rsidRPr="00722B94">
        <w:rPr>
          <w:color w:val="000000" w:themeColor="text1"/>
          <w:sz w:val="20"/>
          <w:szCs w:val="20"/>
        </w:rPr>
        <w:t>Capital &amp; Regional in the UK, which owns seven dominant in-town shopping centres catering for needs-based shopping, faced the most prolonged lockdown period of any of Growthpoint’s investments during the 12 months and was the most severely impacted of its international investments. The UK’s extreme lockdowns</w:t>
      </w:r>
      <w:r>
        <w:rPr>
          <w:color w:val="000000" w:themeColor="text1"/>
          <w:sz w:val="20"/>
          <w:szCs w:val="20"/>
        </w:rPr>
        <w:t xml:space="preserve"> and</w:t>
      </w:r>
      <w:r w:rsidRPr="00722B94">
        <w:rPr>
          <w:color w:val="000000" w:themeColor="text1"/>
          <w:sz w:val="20"/>
          <w:szCs w:val="20"/>
        </w:rPr>
        <w:t xml:space="preserve"> regulations that limited landlords’ ability to collect rent, impacted income, valuations, and leverage.</w:t>
      </w:r>
      <w:r>
        <w:rPr>
          <w:color w:val="000000" w:themeColor="text1"/>
          <w:sz w:val="20"/>
          <w:szCs w:val="20"/>
        </w:rPr>
        <w:t xml:space="preserve"> </w:t>
      </w:r>
      <w:r w:rsidRPr="00722B94">
        <w:rPr>
          <w:color w:val="000000" w:themeColor="text1"/>
          <w:sz w:val="20"/>
          <w:szCs w:val="20"/>
        </w:rPr>
        <w:t xml:space="preserve">C&amp;R breached some of its debt covenants and declared no dividends for FY21. It has signed wavers for all current income covenants </w:t>
      </w:r>
      <w:r>
        <w:rPr>
          <w:color w:val="000000" w:themeColor="text1"/>
          <w:sz w:val="20"/>
          <w:szCs w:val="20"/>
        </w:rPr>
        <w:t xml:space="preserve">with its funders </w:t>
      </w:r>
      <w:r w:rsidRPr="00722B94">
        <w:rPr>
          <w:color w:val="000000" w:themeColor="text1"/>
          <w:sz w:val="20"/>
          <w:szCs w:val="20"/>
        </w:rPr>
        <w:t>and</w:t>
      </w:r>
      <w:r w:rsidR="00FB6CC9">
        <w:rPr>
          <w:color w:val="000000" w:themeColor="text1"/>
          <w:sz w:val="20"/>
          <w:szCs w:val="20"/>
        </w:rPr>
        <w:t xml:space="preserve"> has </w:t>
      </w:r>
      <w:r w:rsidRPr="00722B94">
        <w:rPr>
          <w:color w:val="000000" w:themeColor="text1"/>
          <w:sz w:val="20"/>
          <w:szCs w:val="20"/>
        </w:rPr>
        <w:t>high cash reserves</w:t>
      </w:r>
      <w:r>
        <w:rPr>
          <w:color w:val="000000" w:themeColor="text1"/>
          <w:sz w:val="20"/>
          <w:szCs w:val="20"/>
        </w:rPr>
        <w:t xml:space="preserve"> of</w:t>
      </w:r>
      <w:r w:rsidRPr="00722B94">
        <w:rPr>
          <w:color w:val="000000" w:themeColor="text1"/>
          <w:sz w:val="20"/>
          <w:szCs w:val="20"/>
        </w:rPr>
        <w:t xml:space="preserve"> GBP</w:t>
      </w:r>
      <w:r>
        <w:rPr>
          <w:color w:val="000000" w:themeColor="text1"/>
          <w:sz w:val="20"/>
          <w:szCs w:val="20"/>
        </w:rPr>
        <w:t>75</w:t>
      </w:r>
      <w:r w:rsidRPr="00722B94">
        <w:rPr>
          <w:color w:val="000000" w:themeColor="text1"/>
          <w:sz w:val="20"/>
          <w:szCs w:val="20"/>
        </w:rPr>
        <w:t xml:space="preserve">m </w:t>
      </w:r>
      <w:r>
        <w:rPr>
          <w:color w:val="000000" w:themeColor="text1"/>
          <w:sz w:val="20"/>
          <w:szCs w:val="20"/>
        </w:rPr>
        <w:t xml:space="preserve">- </w:t>
      </w:r>
      <w:r w:rsidRPr="00722B94">
        <w:rPr>
          <w:color w:val="000000" w:themeColor="text1"/>
          <w:sz w:val="20"/>
          <w:szCs w:val="20"/>
        </w:rPr>
        <w:t xml:space="preserve">more than one year’s gross rental </w:t>
      </w:r>
      <w:r>
        <w:rPr>
          <w:color w:val="000000" w:themeColor="text1"/>
          <w:sz w:val="20"/>
          <w:szCs w:val="20"/>
        </w:rPr>
        <w:t>income -</w:t>
      </w:r>
      <w:r w:rsidRPr="00722B94">
        <w:rPr>
          <w:color w:val="000000" w:themeColor="text1"/>
          <w:sz w:val="20"/>
          <w:szCs w:val="20"/>
        </w:rPr>
        <w:t xml:space="preserve"> on its balance sheet.</w:t>
      </w:r>
    </w:p>
    <w:p w14:paraId="16D434CE" w14:textId="77777777" w:rsidR="00563D53" w:rsidRPr="00722B94" w:rsidRDefault="00563D53" w:rsidP="00563D53">
      <w:pPr>
        <w:jc w:val="both"/>
        <w:rPr>
          <w:color w:val="000000" w:themeColor="text1"/>
          <w:sz w:val="20"/>
          <w:szCs w:val="20"/>
        </w:rPr>
      </w:pPr>
    </w:p>
    <w:p w14:paraId="65FA7496" w14:textId="77777777" w:rsidR="00563D53" w:rsidRPr="00722B94" w:rsidRDefault="00563D53" w:rsidP="00563D53">
      <w:pPr>
        <w:jc w:val="both"/>
        <w:rPr>
          <w:i/>
          <w:iCs/>
          <w:color w:val="000000" w:themeColor="text1"/>
          <w:sz w:val="20"/>
          <w:szCs w:val="20"/>
        </w:rPr>
      </w:pPr>
      <w:r w:rsidRPr="00722B94">
        <w:rPr>
          <w:i/>
          <w:iCs/>
          <w:color w:val="000000" w:themeColor="text1"/>
          <w:sz w:val="20"/>
          <w:szCs w:val="20"/>
        </w:rPr>
        <w:t xml:space="preserve">“Although this was a disappointing performance, we believe C&amp;R is a great investment that stands to benefit from the UK turnaround. The easing of government restrictions from April and the UK’s advances in vaccinations are fuelling the rapid re-igniting of one of the world’s biggest economies, which provides the basis for return to more normal trading conditions for the rest of the year. Further, strategic opportunities for the C&amp;R balance sheet are being considered,” </w:t>
      </w:r>
      <w:r w:rsidRPr="003F6DF4">
        <w:rPr>
          <w:color w:val="000000" w:themeColor="text1"/>
          <w:sz w:val="20"/>
          <w:szCs w:val="20"/>
        </w:rPr>
        <w:t>reports Sasse</w:t>
      </w:r>
      <w:r w:rsidRPr="00722B94">
        <w:rPr>
          <w:i/>
          <w:iCs/>
          <w:color w:val="000000" w:themeColor="text1"/>
          <w:sz w:val="20"/>
          <w:szCs w:val="20"/>
        </w:rPr>
        <w:t>.</w:t>
      </w:r>
    </w:p>
    <w:p w14:paraId="54578FB5" w14:textId="77777777" w:rsidR="00563D53" w:rsidRPr="00722B94" w:rsidRDefault="00563D53" w:rsidP="00563D53">
      <w:pPr>
        <w:pStyle w:val="PlainText"/>
        <w:jc w:val="both"/>
        <w:rPr>
          <w:rFonts w:ascii="Trebuchet MS" w:hAnsi="Trebuchet MS"/>
          <w:sz w:val="20"/>
          <w:szCs w:val="20"/>
          <w:highlight w:val="yellow"/>
        </w:rPr>
      </w:pPr>
    </w:p>
    <w:p w14:paraId="3E30FE34" w14:textId="77777777" w:rsidR="00563D53" w:rsidRPr="00722B94" w:rsidRDefault="00563D53" w:rsidP="00563D53">
      <w:pPr>
        <w:pStyle w:val="PlainText"/>
        <w:jc w:val="both"/>
        <w:rPr>
          <w:rFonts w:ascii="Trebuchet MS" w:hAnsi="Trebuchet MS"/>
          <w:sz w:val="20"/>
          <w:szCs w:val="20"/>
        </w:rPr>
      </w:pPr>
      <w:r w:rsidRPr="00722B94">
        <w:rPr>
          <w:rFonts w:ascii="Trebuchet MS" w:hAnsi="Trebuchet MS"/>
          <w:sz w:val="20"/>
          <w:szCs w:val="20"/>
        </w:rPr>
        <w:t>Amid extreme uncertainty, Growthpoint demonstrated the benefits of good liquidity, balance sheet strength, a conservative management approach and quality of earnings</w:t>
      </w:r>
      <w:r>
        <w:rPr>
          <w:rFonts w:ascii="Trebuchet MS" w:hAnsi="Trebuchet MS"/>
          <w:sz w:val="20"/>
          <w:szCs w:val="20"/>
        </w:rPr>
        <w:t xml:space="preserve"> in FY21</w:t>
      </w:r>
      <w:r w:rsidRPr="00722B94">
        <w:rPr>
          <w:rFonts w:ascii="Trebuchet MS" w:hAnsi="Trebuchet MS"/>
          <w:sz w:val="20"/>
          <w:szCs w:val="20"/>
        </w:rPr>
        <w:t xml:space="preserve">. </w:t>
      </w:r>
    </w:p>
    <w:p w14:paraId="7894D67F" w14:textId="77777777" w:rsidR="00563D53" w:rsidRDefault="00563D53" w:rsidP="00563D53">
      <w:pPr>
        <w:pStyle w:val="PlainText"/>
        <w:jc w:val="both"/>
        <w:rPr>
          <w:rFonts w:ascii="Trebuchet MS" w:hAnsi="Trebuchet MS"/>
          <w:i/>
          <w:iCs/>
          <w:sz w:val="20"/>
          <w:szCs w:val="20"/>
        </w:rPr>
      </w:pPr>
    </w:p>
    <w:p w14:paraId="00F5BC87" w14:textId="77777777" w:rsidR="00563D53" w:rsidRPr="00722B94" w:rsidRDefault="00563D53" w:rsidP="00563D53">
      <w:pPr>
        <w:pStyle w:val="PlainText"/>
        <w:jc w:val="both"/>
        <w:rPr>
          <w:rFonts w:ascii="Trebuchet MS" w:hAnsi="Trebuchet MS"/>
          <w:i/>
          <w:iCs/>
          <w:sz w:val="20"/>
          <w:szCs w:val="20"/>
        </w:rPr>
      </w:pPr>
      <w:r>
        <w:rPr>
          <w:rFonts w:ascii="Trebuchet MS" w:hAnsi="Trebuchet MS" w:cstheme="minorBidi"/>
          <w:i/>
          <w:iCs/>
          <w:sz w:val="20"/>
          <w:szCs w:val="20"/>
        </w:rPr>
        <w:t>“</w:t>
      </w:r>
      <w:r w:rsidRPr="00722B94">
        <w:rPr>
          <w:rFonts w:ascii="Trebuchet MS" w:hAnsi="Trebuchet MS" w:cstheme="minorBidi"/>
          <w:i/>
          <w:iCs/>
          <w:sz w:val="20"/>
          <w:szCs w:val="20"/>
        </w:rPr>
        <w:t xml:space="preserve">We are cautiously optimistic about the potential for improvement in some of the geographies and sectors </w:t>
      </w:r>
      <w:r>
        <w:rPr>
          <w:rFonts w:ascii="Trebuchet MS" w:hAnsi="Trebuchet MS" w:cstheme="minorBidi"/>
          <w:i/>
          <w:iCs/>
          <w:sz w:val="20"/>
          <w:szCs w:val="20"/>
        </w:rPr>
        <w:t>where we</w:t>
      </w:r>
      <w:r w:rsidRPr="00722B94">
        <w:rPr>
          <w:rFonts w:ascii="Trebuchet MS" w:hAnsi="Trebuchet MS" w:cstheme="minorBidi"/>
          <w:i/>
          <w:iCs/>
          <w:sz w:val="20"/>
          <w:szCs w:val="20"/>
        </w:rPr>
        <w:t xml:space="preserve"> invest and will optimise these advantages. W</w:t>
      </w:r>
      <w:r w:rsidRPr="00722B94">
        <w:rPr>
          <w:rFonts w:ascii="Trebuchet MS" w:hAnsi="Trebuchet MS"/>
          <w:i/>
          <w:iCs/>
          <w:sz w:val="20"/>
          <w:szCs w:val="20"/>
        </w:rPr>
        <w:t>e remain committed to our clear priorities, which support our sustainable performance for all our stakeholders, and enable Growthpoint to continue advancing its strategic thrusts,”</w:t>
      </w:r>
      <w:r w:rsidRPr="00722B94">
        <w:rPr>
          <w:rFonts w:ascii="Trebuchet MS" w:hAnsi="Trebuchet MS"/>
          <w:sz w:val="20"/>
          <w:szCs w:val="20"/>
        </w:rPr>
        <w:t xml:space="preserve"> says Sasse. </w:t>
      </w:r>
      <w:r w:rsidRPr="00722B94">
        <w:rPr>
          <w:rFonts w:ascii="Trebuchet MS" w:hAnsi="Trebuchet MS"/>
          <w:i/>
          <w:iCs/>
          <w:sz w:val="20"/>
          <w:szCs w:val="20"/>
        </w:rPr>
        <w:t xml:space="preserve">“In line with </w:t>
      </w:r>
      <w:r>
        <w:rPr>
          <w:rFonts w:ascii="Trebuchet MS" w:hAnsi="Trebuchet MS"/>
          <w:i/>
          <w:iCs/>
          <w:sz w:val="20"/>
          <w:szCs w:val="20"/>
        </w:rPr>
        <w:t>Growthpoint’s</w:t>
      </w:r>
      <w:r w:rsidRPr="00722B94">
        <w:rPr>
          <w:rFonts w:ascii="Trebuchet MS" w:hAnsi="Trebuchet MS"/>
          <w:i/>
          <w:iCs/>
          <w:sz w:val="20"/>
          <w:szCs w:val="20"/>
        </w:rPr>
        <w:t xml:space="preserve"> new Board-approved ESG strategy, with integrity, ethics and our values guiding our governance, we will continue to provide space to thrive in environmentally-friendly buildings, while improving the social and material wellbeing of individuals and communities.”</w:t>
      </w:r>
    </w:p>
    <w:p w14:paraId="6E4E3A37" w14:textId="77777777" w:rsidR="00563D53" w:rsidRPr="00722B94" w:rsidRDefault="00563D53" w:rsidP="00563D53">
      <w:pPr>
        <w:pStyle w:val="PlainText"/>
        <w:jc w:val="both"/>
        <w:rPr>
          <w:rFonts w:ascii="Trebuchet MS" w:hAnsi="Trebuchet MS"/>
          <w:sz w:val="20"/>
          <w:szCs w:val="20"/>
        </w:rPr>
      </w:pPr>
    </w:p>
    <w:p w14:paraId="4A1C5282" w14:textId="77777777" w:rsidR="00563D53" w:rsidRDefault="00563D53" w:rsidP="00563D53">
      <w:pPr>
        <w:pStyle w:val="PlainText"/>
        <w:jc w:val="center"/>
        <w:rPr>
          <w:rFonts w:ascii="Trebuchet MS" w:hAnsi="Trebuchet MS"/>
          <w:b/>
          <w:bCs/>
          <w:sz w:val="20"/>
          <w:szCs w:val="20"/>
        </w:rPr>
      </w:pPr>
      <w:r w:rsidRPr="00722B94">
        <w:rPr>
          <w:rFonts w:ascii="Trebuchet MS" w:hAnsi="Trebuchet MS"/>
          <w:b/>
          <w:bCs/>
          <w:sz w:val="20"/>
          <w:szCs w:val="20"/>
        </w:rPr>
        <w:t>/ends</w:t>
      </w:r>
    </w:p>
    <w:p w14:paraId="3B961447" w14:textId="77777777" w:rsidR="00563D53" w:rsidRDefault="00563D53" w:rsidP="00563D53">
      <w:pPr>
        <w:pStyle w:val="PlainText"/>
        <w:jc w:val="center"/>
        <w:rPr>
          <w:rFonts w:ascii="Trebuchet MS" w:hAnsi="Trebuchet MS"/>
          <w:b/>
          <w:bCs/>
          <w:sz w:val="20"/>
          <w:szCs w:val="20"/>
        </w:rPr>
      </w:pPr>
    </w:p>
    <w:p w14:paraId="0794B379" w14:textId="77777777" w:rsidR="00563D53" w:rsidRDefault="00563D53" w:rsidP="00563D53">
      <w:pPr>
        <w:pStyle w:val="PlainText"/>
        <w:jc w:val="center"/>
        <w:rPr>
          <w:rFonts w:ascii="Trebuchet MS" w:hAnsi="Trebuchet MS"/>
          <w:b/>
          <w:bCs/>
          <w:sz w:val="20"/>
          <w:szCs w:val="20"/>
        </w:rPr>
      </w:pPr>
    </w:p>
    <w:p w14:paraId="6EB5EDF7" w14:textId="77777777" w:rsidR="00563D53" w:rsidRDefault="00563D53" w:rsidP="00563D53">
      <w:pPr>
        <w:pStyle w:val="PlainText"/>
        <w:jc w:val="center"/>
        <w:rPr>
          <w:rFonts w:ascii="Trebuchet MS" w:hAnsi="Trebuchet MS"/>
          <w:b/>
          <w:bCs/>
          <w:sz w:val="20"/>
          <w:szCs w:val="20"/>
        </w:rPr>
      </w:pPr>
    </w:p>
    <w:p w14:paraId="547701BC" w14:textId="77777777" w:rsidR="00563D53" w:rsidRPr="000D04A2" w:rsidRDefault="00563D53" w:rsidP="00563D53">
      <w:pPr>
        <w:spacing w:line="276" w:lineRule="auto"/>
        <w:contextualSpacing/>
        <w:rPr>
          <w:rFonts w:ascii="Calibri" w:hAnsi="Calibri" w:cs="Calibri"/>
          <w:caps/>
          <w:sz w:val="20"/>
          <w:szCs w:val="20"/>
          <w:lang w:val="en-ZA" w:eastAsia="en-GB"/>
        </w:rPr>
      </w:pPr>
      <w:r w:rsidRPr="000D04A2">
        <w:rPr>
          <w:caps/>
          <w:sz w:val="20"/>
          <w:szCs w:val="20"/>
          <w:lang w:val="en-ZA"/>
        </w:rPr>
        <w:t>Released by:</w:t>
      </w:r>
    </w:p>
    <w:p w14:paraId="748A5D70" w14:textId="77777777" w:rsidR="00563D53" w:rsidRPr="000D04A2" w:rsidRDefault="00563D53" w:rsidP="00563D53">
      <w:pPr>
        <w:spacing w:line="276" w:lineRule="auto"/>
        <w:rPr>
          <w:color w:val="000000"/>
          <w:sz w:val="20"/>
          <w:szCs w:val="20"/>
          <w:lang w:val="en-ZA"/>
        </w:rPr>
      </w:pPr>
      <w:r w:rsidRPr="000D04A2">
        <w:rPr>
          <w:color w:val="000000"/>
          <w:sz w:val="20"/>
          <w:szCs w:val="20"/>
          <w:lang w:val="en-ZA"/>
        </w:rPr>
        <w:t>Growthpoint Properties Limited</w:t>
      </w:r>
    </w:p>
    <w:p w14:paraId="7B2F9136" w14:textId="77777777" w:rsidR="00563D53" w:rsidRPr="000D04A2" w:rsidRDefault="00563D53" w:rsidP="00563D53">
      <w:pPr>
        <w:spacing w:line="276" w:lineRule="auto"/>
        <w:rPr>
          <w:sz w:val="20"/>
          <w:szCs w:val="20"/>
        </w:rPr>
      </w:pPr>
      <w:r w:rsidRPr="000D04A2">
        <w:rPr>
          <w:sz w:val="20"/>
          <w:szCs w:val="20"/>
        </w:rPr>
        <w:t>Norbert Sasse, Group Chief Executive Officer</w:t>
      </w:r>
    </w:p>
    <w:p w14:paraId="6AE2CAD0" w14:textId="77777777" w:rsidR="00563D53" w:rsidRPr="00421FA1" w:rsidRDefault="00563D53" w:rsidP="00563D53">
      <w:pPr>
        <w:spacing w:line="276" w:lineRule="auto"/>
        <w:rPr>
          <w:color w:val="000000"/>
          <w:sz w:val="20"/>
          <w:szCs w:val="20"/>
          <w:lang w:val="de-DE"/>
        </w:rPr>
      </w:pPr>
      <w:r w:rsidRPr="00421FA1">
        <w:rPr>
          <w:color w:val="000000"/>
          <w:sz w:val="20"/>
          <w:szCs w:val="20"/>
          <w:lang w:val="de-DE"/>
        </w:rPr>
        <w:t>Tel: +27 (0) 11 944 6249</w:t>
      </w:r>
    </w:p>
    <w:p w14:paraId="198B73B1" w14:textId="77777777" w:rsidR="00563D53" w:rsidRPr="00421FA1" w:rsidRDefault="002F0E33" w:rsidP="00563D53">
      <w:pPr>
        <w:spacing w:line="276" w:lineRule="auto"/>
        <w:jc w:val="both"/>
        <w:rPr>
          <w:i/>
          <w:iCs/>
          <w:color w:val="000000"/>
          <w:sz w:val="20"/>
          <w:szCs w:val="20"/>
          <w:lang w:val="de-DE"/>
        </w:rPr>
      </w:pPr>
      <w:hyperlink r:id="rId10" w:history="1">
        <w:r w:rsidR="00563D53" w:rsidRPr="00421FA1">
          <w:rPr>
            <w:rStyle w:val="Hyperlink"/>
            <w:i/>
            <w:iCs/>
            <w:color w:val="000000"/>
            <w:sz w:val="20"/>
            <w:szCs w:val="20"/>
            <w:lang w:val="de-DE"/>
          </w:rPr>
          <w:t>www.growthpoint.co.za</w:t>
        </w:r>
      </w:hyperlink>
    </w:p>
    <w:p w14:paraId="15E216F5" w14:textId="77777777" w:rsidR="00563D53" w:rsidRPr="00421FA1" w:rsidRDefault="002F0E33" w:rsidP="00563D53">
      <w:pPr>
        <w:spacing w:line="276" w:lineRule="auto"/>
        <w:jc w:val="both"/>
        <w:rPr>
          <w:i/>
          <w:iCs/>
          <w:color w:val="000000"/>
          <w:sz w:val="20"/>
          <w:szCs w:val="20"/>
          <w:lang w:val="de-DE"/>
        </w:rPr>
      </w:pPr>
      <w:hyperlink r:id="rId11" w:history="1">
        <w:r w:rsidR="00563D53" w:rsidRPr="00421FA1">
          <w:rPr>
            <w:rStyle w:val="Hyperlink"/>
            <w:i/>
            <w:iCs/>
            <w:color w:val="000000"/>
            <w:sz w:val="20"/>
            <w:szCs w:val="20"/>
            <w:lang w:val="de-DE"/>
          </w:rPr>
          <w:t>www.facebook.com/Growthpoint</w:t>
        </w:r>
      </w:hyperlink>
    </w:p>
    <w:p w14:paraId="1D977DB0" w14:textId="77777777" w:rsidR="00563D53" w:rsidRPr="00421FA1" w:rsidRDefault="002F0E33" w:rsidP="00563D53">
      <w:pPr>
        <w:spacing w:line="276" w:lineRule="auto"/>
        <w:jc w:val="both"/>
        <w:rPr>
          <w:i/>
          <w:iCs/>
          <w:color w:val="000000"/>
          <w:sz w:val="20"/>
          <w:szCs w:val="20"/>
          <w:lang w:val="de-DE"/>
        </w:rPr>
      </w:pPr>
      <w:hyperlink r:id="rId12" w:history="1">
        <w:r w:rsidR="00563D53" w:rsidRPr="00421FA1">
          <w:rPr>
            <w:rStyle w:val="Hyperlink"/>
            <w:i/>
            <w:iCs/>
            <w:color w:val="000000"/>
            <w:sz w:val="20"/>
            <w:szCs w:val="20"/>
            <w:lang w:val="de-DE"/>
          </w:rPr>
          <w:t>www.twitter.com/Growthpoint</w:t>
        </w:r>
      </w:hyperlink>
    </w:p>
    <w:p w14:paraId="57BD83C1" w14:textId="77777777" w:rsidR="00563D53" w:rsidRPr="00421FA1" w:rsidRDefault="002F0E33" w:rsidP="00563D53">
      <w:pPr>
        <w:spacing w:line="276" w:lineRule="auto"/>
        <w:jc w:val="both"/>
        <w:rPr>
          <w:i/>
          <w:iCs/>
          <w:color w:val="000000"/>
          <w:sz w:val="20"/>
          <w:szCs w:val="20"/>
          <w:lang w:val="de-DE"/>
        </w:rPr>
      </w:pPr>
      <w:hyperlink r:id="rId13" w:history="1">
        <w:r w:rsidR="00563D53" w:rsidRPr="00421FA1">
          <w:rPr>
            <w:rStyle w:val="Hyperlink"/>
            <w:i/>
            <w:iCs/>
            <w:color w:val="000000"/>
            <w:sz w:val="20"/>
            <w:szCs w:val="20"/>
            <w:lang w:val="de-DE"/>
          </w:rPr>
          <w:t>www.linkedin.com/company/growthpoint-properties-ltd</w:t>
        </w:r>
      </w:hyperlink>
    </w:p>
    <w:p w14:paraId="1C747382" w14:textId="77777777" w:rsidR="00563D53" w:rsidRDefault="002F0E33" w:rsidP="00563D53">
      <w:pPr>
        <w:spacing w:line="276" w:lineRule="auto"/>
        <w:jc w:val="both"/>
        <w:rPr>
          <w:sz w:val="20"/>
          <w:szCs w:val="20"/>
        </w:rPr>
      </w:pPr>
      <w:hyperlink r:id="rId14" w:history="1">
        <w:r w:rsidR="00563D53" w:rsidRPr="000D04A2">
          <w:rPr>
            <w:rStyle w:val="Hyperlink"/>
            <w:i/>
            <w:iCs/>
            <w:color w:val="000000"/>
            <w:sz w:val="20"/>
            <w:szCs w:val="20"/>
          </w:rPr>
          <w:t>www.youtube.com/GrowthpointBroadcast</w:t>
        </w:r>
      </w:hyperlink>
      <w:r w:rsidR="00563D53">
        <w:rPr>
          <w:sz w:val="20"/>
          <w:szCs w:val="20"/>
        </w:rPr>
        <w:t xml:space="preserve"> </w:t>
      </w:r>
    </w:p>
    <w:p w14:paraId="2D68EAD9" w14:textId="77777777" w:rsidR="00E811E8" w:rsidRDefault="00E811E8" w:rsidP="00563D53">
      <w:pPr>
        <w:rPr>
          <w:sz w:val="20"/>
          <w:szCs w:val="20"/>
        </w:rPr>
      </w:pPr>
    </w:p>
    <w:p w14:paraId="3A800763" w14:textId="20B7273C" w:rsidR="00563D53" w:rsidRDefault="00563D53" w:rsidP="00563D53">
      <w:r>
        <w:rPr>
          <w:sz w:val="20"/>
          <w:szCs w:val="20"/>
        </w:rPr>
        <w:t xml:space="preserve">For more information, or to book an interview, please contact Mahlatse Bojanyane on 083 453 6668 or email </w:t>
      </w:r>
      <w:hyperlink r:id="rId15" w:history="1">
        <w:r w:rsidRPr="00E811E8">
          <w:rPr>
            <w:rStyle w:val="Hyperlink"/>
            <w:color w:val="auto"/>
            <w:sz w:val="20"/>
            <w:szCs w:val="20"/>
          </w:rPr>
          <w:t>Mahlatse@marketingconcepts.co.za</w:t>
        </w:r>
      </w:hyperlink>
      <w:r w:rsidRPr="00E811E8">
        <w:rPr>
          <w:sz w:val="20"/>
          <w:szCs w:val="20"/>
        </w:rPr>
        <w:t xml:space="preserve">. </w:t>
      </w:r>
    </w:p>
    <w:p w14:paraId="141D0369" w14:textId="0A701041" w:rsidR="008C0B9A" w:rsidRPr="008C0B9A" w:rsidRDefault="008C0B9A" w:rsidP="008C0B9A">
      <w:pPr>
        <w:tabs>
          <w:tab w:val="left" w:pos="7455"/>
        </w:tabs>
      </w:pPr>
      <w:bookmarkStart w:id="1" w:name="txt_subject"/>
      <w:bookmarkEnd w:id="1"/>
    </w:p>
    <w:sectPr w:rsidR="008C0B9A" w:rsidRPr="008C0B9A" w:rsidSect="00E4477B">
      <w:headerReference w:type="default" r:id="rId16"/>
      <w:headerReference w:type="first" r:id="rId17"/>
      <w:footerReference w:type="first" r:id="rId18"/>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668C" w14:textId="77777777" w:rsidR="002F0E33" w:rsidRDefault="002F0E33">
      <w:r>
        <w:separator/>
      </w:r>
    </w:p>
  </w:endnote>
  <w:endnote w:type="continuationSeparator" w:id="0">
    <w:p w14:paraId="1F642FC6" w14:textId="77777777" w:rsidR="002F0E33" w:rsidRDefault="002F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356"/>
    </w:tblGrid>
    <w:tr w:rsidR="00FC7E4C" w:rsidRPr="00BF09FD" w14:paraId="7186EFE3" w14:textId="77777777" w:rsidTr="00CF2719">
      <w:tc>
        <w:tcPr>
          <w:tcW w:w="9356" w:type="dxa"/>
          <w:tcBorders>
            <w:top w:val="nil"/>
            <w:left w:val="nil"/>
            <w:bottom w:val="nil"/>
            <w:right w:val="nil"/>
          </w:tcBorders>
          <w:tcMar>
            <w:top w:w="28" w:type="dxa"/>
            <w:left w:w="28" w:type="dxa"/>
            <w:bottom w:w="28" w:type="dxa"/>
            <w:right w:w="28" w:type="dxa"/>
          </w:tcMar>
        </w:tcPr>
        <w:p w14:paraId="2BEE623F"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1E856C0" w14:textId="209DD4BE" w:rsidR="00CF2719" w:rsidRDefault="00FC7E4C" w:rsidP="00CF2719">
          <w:pPr>
            <w:jc w:val="both"/>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w:t>
          </w:r>
          <w:r w:rsidR="00D64D22">
            <w:rPr>
              <w:rFonts w:cs="Trebuchet MS"/>
              <w:color w:val="410F2C"/>
              <w:sz w:val="12"/>
              <w:szCs w:val="12"/>
              <w:lang w:val="en-ZA" w:eastAsia="en-ZA"/>
            </w:rPr>
            <w:t>R</w:t>
          </w:r>
          <w:r w:rsidR="00C96CD9">
            <w:rPr>
              <w:rFonts w:cs="Trebuchet MS"/>
              <w:color w:val="410F2C"/>
              <w:sz w:val="12"/>
              <w:szCs w:val="12"/>
              <w:lang w:val="en-ZA" w:eastAsia="en-ZA"/>
            </w:rPr>
            <w:t>.</w:t>
          </w:r>
          <w:r w:rsidR="00D64D22">
            <w:rPr>
              <w:rFonts w:cs="Trebuchet MS"/>
              <w:color w:val="410F2C"/>
              <w:sz w:val="12"/>
              <w:szCs w:val="12"/>
              <w:lang w:val="en-ZA" w:eastAsia="en-ZA"/>
            </w:rPr>
            <w:t xml:space="preserve"> GASANT</w:t>
          </w:r>
          <w:r w:rsidR="0051628D">
            <w:rPr>
              <w:rFonts w:cs="Trebuchet MS"/>
              <w:color w:val="410F2C"/>
              <w:sz w:val="12"/>
              <w:szCs w:val="12"/>
              <w:lang w:val="en-ZA" w:eastAsia="en-ZA"/>
            </w:rPr>
            <w:t xml:space="preserve"> (DEPUTY CHAIRMAN)</w:t>
          </w:r>
          <w:r w:rsidR="00D64D22">
            <w:rPr>
              <w:rFonts w:cs="Trebuchet MS"/>
              <w:color w:val="410F2C"/>
              <w:sz w:val="12"/>
              <w:szCs w:val="12"/>
              <w:lang w:val="en-ZA" w:eastAsia="en-ZA"/>
            </w:rPr>
            <w:t>,</w:t>
          </w:r>
        </w:p>
        <w:p w14:paraId="738D1F7C" w14:textId="61F7530A" w:rsidR="00CF2719"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w:t>
          </w:r>
          <w:r w:rsidR="00241062">
            <w:rPr>
              <w:rFonts w:cs="Trebuchet MS"/>
              <w:color w:val="410F2C"/>
              <w:sz w:val="12"/>
              <w:szCs w:val="12"/>
              <w:lang w:val="en-ZA" w:eastAsia="en-ZA"/>
            </w:rPr>
            <w:t>K.</w:t>
          </w:r>
          <w:r w:rsidR="00FE2939">
            <w:rPr>
              <w:rFonts w:cs="Trebuchet MS"/>
              <w:color w:val="410F2C"/>
              <w:sz w:val="12"/>
              <w:szCs w:val="12"/>
              <w:lang w:val="en-ZA" w:eastAsia="en-ZA"/>
            </w:rPr>
            <w:t xml:space="preserve">P. LEBINA, </w:t>
          </w:r>
          <w:r w:rsidRPr="00BF09FD">
            <w:rPr>
              <w:rFonts w:cs="Trebuchet MS"/>
              <w:color w:val="410F2C"/>
              <w:sz w:val="12"/>
              <w:szCs w:val="12"/>
              <w:lang w:val="en-ZA" w:eastAsia="en-ZA"/>
            </w:rPr>
            <w:t xml:space="preserve">S.P. MNGCONKOLA, N.B.P. NKABINDE, </w:t>
          </w:r>
          <w:r w:rsidR="00FE2939">
            <w:rPr>
              <w:rFonts w:cs="Trebuchet MS"/>
              <w:color w:val="410F2C"/>
              <w:sz w:val="12"/>
              <w:szCs w:val="12"/>
              <w:lang w:val="en-ZA" w:eastAsia="en-ZA"/>
            </w:rPr>
            <w:t xml:space="preserve">A.H. SANGQU,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w:t>
          </w:r>
        </w:p>
        <w:p w14:paraId="52A39331" w14:textId="6839948D" w:rsidR="00FC7E4C" w:rsidRPr="00BF09FD"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J.A. VAN WYK (British),</w:t>
          </w:r>
          <w:r w:rsidR="00241062">
            <w:rPr>
              <w:rFonts w:cs="Trebuchet MS"/>
              <w:color w:val="410F2C"/>
              <w:sz w:val="12"/>
              <w:szCs w:val="12"/>
              <w:lang w:val="en-ZA" w:eastAsia="en-ZA"/>
            </w:rPr>
            <w:t xml:space="preserve">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G. VÖLKEL (GROUP FD) </w:t>
          </w:r>
          <w:r w:rsidR="00241062">
            <w:rPr>
              <w:rFonts w:cs="Trebuchet MS"/>
              <w:color w:val="410F2C"/>
              <w:sz w:val="12"/>
              <w:szCs w:val="12"/>
              <w:lang w:val="en-ZA" w:eastAsia="en-ZA"/>
            </w:rPr>
            <w:t>(</w:t>
          </w:r>
          <w:r w:rsidRPr="00BF09FD">
            <w:rPr>
              <w:rFonts w:cs="Trebuchet MS"/>
              <w:b/>
              <w:bCs/>
              <w:color w:val="410F2C"/>
              <w:sz w:val="12"/>
              <w:szCs w:val="12"/>
              <w:lang w:val="en-ZA" w:eastAsia="en-ZA"/>
            </w:rPr>
            <w:t>*</w:t>
          </w:r>
          <w:r w:rsidRPr="00BF09FD">
            <w:rPr>
              <w:rFonts w:cs="Trebuchet MS"/>
              <w:color w:val="410F2C"/>
              <w:sz w:val="12"/>
              <w:szCs w:val="12"/>
              <w:lang w:val="en-ZA" w:eastAsia="en-ZA"/>
            </w:rPr>
            <w:t>EXECUTIVE)</w:t>
          </w:r>
          <w:r w:rsidR="00241062">
            <w:rPr>
              <w:rFonts w:cs="Trebuchet MS"/>
              <w:color w:val="410F2C"/>
              <w:sz w:val="12"/>
              <w:szCs w:val="12"/>
              <w:lang w:val="en-ZA" w:eastAsia="en-ZA"/>
            </w:rPr>
            <w:t>,</w:t>
          </w:r>
          <w:r w:rsidRPr="00BF09FD">
            <w:rPr>
              <w:rFonts w:cs="Trebuchet MS"/>
              <w:color w:val="410F2C"/>
              <w:sz w:val="12"/>
              <w:szCs w:val="12"/>
              <w:lang w:val="en-ZA" w:eastAsia="en-ZA"/>
            </w:rPr>
            <w:t xml:space="preser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00BB43EE" w:rsidRPr="00450F75">
            <w:rPr>
              <w:rFonts w:cs="Trebuchet MS"/>
              <w:color w:val="410F2C"/>
              <w:sz w:val="12"/>
              <w:szCs w:val="12"/>
              <w:lang w:val="en-ZA" w:eastAsia="en-ZA"/>
            </w:rPr>
            <w:t>W.</w:t>
          </w:r>
          <w:r w:rsidRPr="00BF09FD">
            <w:rPr>
              <w:rFonts w:cs="Trebuchet MS"/>
              <w:color w:val="410F2C"/>
              <w:sz w:val="12"/>
              <w:szCs w:val="12"/>
              <w:lang w:val="en-US"/>
            </w:rPr>
            <w:t>J</w:t>
          </w:r>
          <w:r w:rsidRPr="00BF09FD">
            <w:rPr>
              <w:rFonts w:cs="Trebuchet MS"/>
              <w:color w:val="410F2C"/>
              <w:sz w:val="12"/>
              <w:szCs w:val="12"/>
              <w:lang w:val="en-ZA" w:eastAsia="en-ZA"/>
            </w:rPr>
            <w:t>.</w:t>
          </w:r>
          <w:r w:rsidR="00FE2939">
            <w:rPr>
              <w:rFonts w:cs="Trebuchet MS"/>
              <w:color w:val="410F2C"/>
              <w:sz w:val="12"/>
              <w:szCs w:val="12"/>
              <w:lang w:val="en-ZA" w:eastAsia="en-ZA"/>
            </w:rPr>
            <w:t>H.</w:t>
          </w:r>
          <w:r w:rsidRPr="00BF09FD">
            <w:rPr>
              <w:rFonts w:cs="Trebuchet MS"/>
              <w:color w:val="410F2C"/>
              <w:sz w:val="12"/>
              <w:szCs w:val="12"/>
              <w:lang w:val="en-US"/>
            </w:rPr>
            <w:t xml:space="preserve"> DE KOKER</w:t>
          </w:r>
        </w:p>
        <w:p w14:paraId="6852902C" w14:textId="77777777" w:rsidR="00FC7E4C" w:rsidRPr="00BF09FD" w:rsidRDefault="00FC7E4C" w:rsidP="00FC7E4C">
          <w:pPr>
            <w:spacing w:line="288" w:lineRule="auto"/>
            <w:rPr>
              <w:rFonts w:cs="Trebuchet MS"/>
              <w:color w:val="410F2C"/>
              <w:sz w:val="12"/>
              <w:szCs w:val="12"/>
              <w:lang w:val="en-ZA" w:eastAsia="en-ZA"/>
            </w:rPr>
          </w:pPr>
        </w:p>
        <w:p w14:paraId="4271CBDD"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22A6BBFF" w14:textId="77777777" w:rsidR="00FC7E4C" w:rsidRPr="00BF09FD" w:rsidRDefault="00FC7E4C" w:rsidP="00FC7E4C">
          <w:pPr>
            <w:rPr>
              <w:rFonts w:ascii="Times New Roman" w:hAnsi="Times New Roman"/>
              <w:sz w:val="10"/>
              <w:szCs w:val="10"/>
              <w:lang w:val="en-ZA" w:eastAsia="en-ZA"/>
            </w:rPr>
          </w:pPr>
        </w:p>
      </w:tc>
    </w:tr>
  </w:tbl>
  <w:p w14:paraId="60ADD7E4" w14:textId="77777777" w:rsidR="00FC7E4C" w:rsidRPr="00BF09FD" w:rsidRDefault="00FC7E4C" w:rsidP="00FC7E4C">
    <w:pPr>
      <w:autoSpaceDE w:val="0"/>
      <w:autoSpaceDN w:val="0"/>
      <w:adjustRightInd w:val="0"/>
      <w:rPr>
        <w:rFonts w:ascii="Arial" w:hAnsi="Arial"/>
        <w:color w:val="000000"/>
        <w:lang w:val="en-ZA" w:eastAsia="en-ZA"/>
      </w:rPr>
    </w:pPr>
  </w:p>
  <w:p w14:paraId="08402C8F" w14:textId="77777777" w:rsidR="00FC7E4C" w:rsidRDefault="00FC7E4C" w:rsidP="00FC7E4C">
    <w:pPr>
      <w:pStyle w:val="Footer"/>
    </w:pPr>
  </w:p>
  <w:p w14:paraId="20FA1E8D"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ACC4" w14:textId="77777777" w:rsidR="002F0E33" w:rsidRDefault="002F0E33">
      <w:r>
        <w:separator/>
      </w:r>
    </w:p>
  </w:footnote>
  <w:footnote w:type="continuationSeparator" w:id="0">
    <w:p w14:paraId="529E3276" w14:textId="77777777" w:rsidR="002F0E33" w:rsidRDefault="002F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326D6E9F" w14:textId="77777777">
      <w:tc>
        <w:tcPr>
          <w:tcW w:w="9185" w:type="dxa"/>
          <w:vAlign w:val="bottom"/>
        </w:tcPr>
        <w:p w14:paraId="7BD4EBF7"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05CA9C5" wp14:editId="2DE9CE4C">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2B39A866" w14:textId="77777777" w:rsidR="00FC7E4C" w:rsidRPr="00FC7E4C" w:rsidRDefault="00FC7E4C" w:rsidP="00FC7E4C">
    <w:pPr>
      <w:autoSpaceDE w:val="0"/>
      <w:autoSpaceDN w:val="0"/>
      <w:adjustRightInd w:val="0"/>
      <w:rPr>
        <w:rFonts w:ascii="Arial" w:hAnsi="Arial"/>
        <w:color w:val="000000"/>
        <w:lang w:val="en-ZA" w:eastAsia="en-ZA"/>
      </w:rPr>
    </w:pPr>
  </w:p>
  <w:p w14:paraId="5DFE1457"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73ABAD0A" w14:textId="77777777">
      <w:tc>
        <w:tcPr>
          <w:tcW w:w="9072" w:type="dxa"/>
          <w:gridSpan w:val="2"/>
          <w:vAlign w:val="bottom"/>
        </w:tcPr>
        <w:p w14:paraId="191FCA96"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50FF20BA" w14:textId="77777777">
      <w:tc>
        <w:tcPr>
          <w:tcW w:w="4248" w:type="dxa"/>
          <w:vAlign w:val="center"/>
        </w:tcPr>
        <w:p w14:paraId="1C1A3C97"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5932C52"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6A1819DB"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39A4DF1E"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051065B5"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611A8221"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D9C0A74" wp14:editId="664A03F7">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66975942" w14:textId="77777777" w:rsidR="00FC7E4C" w:rsidRPr="00FC7E4C" w:rsidRDefault="00FC7E4C" w:rsidP="00FC7E4C">
    <w:pPr>
      <w:autoSpaceDE w:val="0"/>
      <w:autoSpaceDN w:val="0"/>
      <w:adjustRightInd w:val="0"/>
      <w:rPr>
        <w:rFonts w:ascii="Arial" w:hAnsi="Arial"/>
        <w:color w:val="000000"/>
        <w:lang w:val="en-ZA" w:eastAsia="en-ZA"/>
      </w:rPr>
    </w:pPr>
  </w:p>
  <w:p w14:paraId="57482313"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52765F4"/>
    <w:multiLevelType w:val="multilevel"/>
    <w:tmpl w:val="2842DCA6"/>
    <w:lvl w:ilvl="0">
      <w:start w:val="1"/>
      <w:numFmt w:val="decimal"/>
      <w:pStyle w:val="Level1letters"/>
      <w:isLgl/>
      <w:lvlText w:val="%1"/>
      <w:lvlJc w:val="left"/>
      <w:pPr>
        <w:tabs>
          <w:tab w:val="num" w:pos="567"/>
        </w:tabs>
        <w:ind w:left="567" w:hanging="567"/>
      </w:pPr>
      <w:rPr>
        <w:rFonts w:ascii="Univers (W1)" w:hAnsi="Univers (W1)" w:hint="default"/>
        <w:b w:val="0"/>
        <w:strike w:val="0"/>
        <w:dstrike w:val="0"/>
        <w:u w:val="none"/>
        <w:effect w:val="none"/>
      </w:rPr>
    </w:lvl>
    <w:lvl w:ilvl="1">
      <w:start w:val="1"/>
      <w:numFmt w:val="decimal"/>
      <w:pStyle w:val="Level2letters"/>
      <w:isLgl/>
      <w:lvlText w:val="%1.%2"/>
      <w:lvlJc w:val="left"/>
      <w:pPr>
        <w:tabs>
          <w:tab w:val="num" w:pos="851"/>
        </w:tabs>
        <w:ind w:left="851" w:hanging="851"/>
      </w:pPr>
      <w:rPr>
        <w:rFonts w:ascii="Univers (W1)" w:hAnsi="Univers (W1)" w:hint="default"/>
        <w:b w:val="0"/>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2"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0MzU3MjYyMDQ0MDZQ0lEKTi0uzszPAykwrAUAFwzW7iwAAAA="/>
  </w:docVars>
  <w:rsids>
    <w:rsidRoot w:val="00C01F28"/>
    <w:rsid w:val="00000258"/>
    <w:rsid w:val="00001B40"/>
    <w:rsid w:val="00026F64"/>
    <w:rsid w:val="00042910"/>
    <w:rsid w:val="00061A9B"/>
    <w:rsid w:val="00073D12"/>
    <w:rsid w:val="000A42EA"/>
    <w:rsid w:val="000A6AA8"/>
    <w:rsid w:val="000B00C3"/>
    <w:rsid w:val="000E6642"/>
    <w:rsid w:val="000F13E1"/>
    <w:rsid w:val="00156C03"/>
    <w:rsid w:val="001A3E4A"/>
    <w:rsid w:val="001B1D0B"/>
    <w:rsid w:val="001E6505"/>
    <w:rsid w:val="001E7FF3"/>
    <w:rsid w:val="001F2941"/>
    <w:rsid w:val="00217678"/>
    <w:rsid w:val="00232F76"/>
    <w:rsid w:val="00235AB6"/>
    <w:rsid w:val="00241062"/>
    <w:rsid w:val="00246D93"/>
    <w:rsid w:val="002527CE"/>
    <w:rsid w:val="002728A1"/>
    <w:rsid w:val="00295971"/>
    <w:rsid w:val="002B52D2"/>
    <w:rsid w:val="002F055E"/>
    <w:rsid w:val="002F0E33"/>
    <w:rsid w:val="002F7DAA"/>
    <w:rsid w:val="003113C2"/>
    <w:rsid w:val="00347109"/>
    <w:rsid w:val="00351793"/>
    <w:rsid w:val="003771C2"/>
    <w:rsid w:val="0038169B"/>
    <w:rsid w:val="003B4D3A"/>
    <w:rsid w:val="003C01E2"/>
    <w:rsid w:val="003F5482"/>
    <w:rsid w:val="00411ABC"/>
    <w:rsid w:val="0042484A"/>
    <w:rsid w:val="00443832"/>
    <w:rsid w:val="00450F75"/>
    <w:rsid w:val="00453472"/>
    <w:rsid w:val="004601D8"/>
    <w:rsid w:val="00466DFC"/>
    <w:rsid w:val="00495404"/>
    <w:rsid w:val="004A3DA5"/>
    <w:rsid w:val="004B2EDA"/>
    <w:rsid w:val="004B488C"/>
    <w:rsid w:val="004D0F65"/>
    <w:rsid w:val="004D6356"/>
    <w:rsid w:val="00512708"/>
    <w:rsid w:val="0051628D"/>
    <w:rsid w:val="00520310"/>
    <w:rsid w:val="0052087D"/>
    <w:rsid w:val="0052087F"/>
    <w:rsid w:val="00530368"/>
    <w:rsid w:val="0053717D"/>
    <w:rsid w:val="005533CD"/>
    <w:rsid w:val="00553AE0"/>
    <w:rsid w:val="00563D53"/>
    <w:rsid w:val="00585DCD"/>
    <w:rsid w:val="005A0F9F"/>
    <w:rsid w:val="005A5532"/>
    <w:rsid w:val="005B5820"/>
    <w:rsid w:val="005E63AC"/>
    <w:rsid w:val="005E6CE6"/>
    <w:rsid w:val="005E714E"/>
    <w:rsid w:val="005F4006"/>
    <w:rsid w:val="00601AC8"/>
    <w:rsid w:val="00621612"/>
    <w:rsid w:val="0062542B"/>
    <w:rsid w:val="006257B9"/>
    <w:rsid w:val="00650CE9"/>
    <w:rsid w:val="00655961"/>
    <w:rsid w:val="006643CD"/>
    <w:rsid w:val="0067087B"/>
    <w:rsid w:val="00672823"/>
    <w:rsid w:val="00680BA8"/>
    <w:rsid w:val="006B2D2F"/>
    <w:rsid w:val="006D69F4"/>
    <w:rsid w:val="006D7FF4"/>
    <w:rsid w:val="006E0F36"/>
    <w:rsid w:val="006E67D1"/>
    <w:rsid w:val="00711DD2"/>
    <w:rsid w:val="007313AE"/>
    <w:rsid w:val="00780AD3"/>
    <w:rsid w:val="007940CE"/>
    <w:rsid w:val="00794BE4"/>
    <w:rsid w:val="00797029"/>
    <w:rsid w:val="007B5C37"/>
    <w:rsid w:val="007D219F"/>
    <w:rsid w:val="00807887"/>
    <w:rsid w:val="00811339"/>
    <w:rsid w:val="008540F9"/>
    <w:rsid w:val="008551D4"/>
    <w:rsid w:val="00875CE1"/>
    <w:rsid w:val="008A0A34"/>
    <w:rsid w:val="008A3383"/>
    <w:rsid w:val="008A78FF"/>
    <w:rsid w:val="008C0B9A"/>
    <w:rsid w:val="008D4A89"/>
    <w:rsid w:val="008E3288"/>
    <w:rsid w:val="008E3702"/>
    <w:rsid w:val="00914E50"/>
    <w:rsid w:val="00920E96"/>
    <w:rsid w:val="00941156"/>
    <w:rsid w:val="009A0EBD"/>
    <w:rsid w:val="009B4227"/>
    <w:rsid w:val="009C2839"/>
    <w:rsid w:val="009D2C84"/>
    <w:rsid w:val="009E4968"/>
    <w:rsid w:val="009E49FA"/>
    <w:rsid w:val="009F6A58"/>
    <w:rsid w:val="00A16445"/>
    <w:rsid w:val="00A26319"/>
    <w:rsid w:val="00A33720"/>
    <w:rsid w:val="00A42AAC"/>
    <w:rsid w:val="00A47295"/>
    <w:rsid w:val="00A477D3"/>
    <w:rsid w:val="00A64794"/>
    <w:rsid w:val="00A8357A"/>
    <w:rsid w:val="00A8464C"/>
    <w:rsid w:val="00AA199B"/>
    <w:rsid w:val="00AC0F17"/>
    <w:rsid w:val="00AE0DA0"/>
    <w:rsid w:val="00B02C4C"/>
    <w:rsid w:val="00B31FD2"/>
    <w:rsid w:val="00B504D8"/>
    <w:rsid w:val="00B54BBB"/>
    <w:rsid w:val="00B61FC1"/>
    <w:rsid w:val="00B65F39"/>
    <w:rsid w:val="00B931EF"/>
    <w:rsid w:val="00B9380F"/>
    <w:rsid w:val="00BA676A"/>
    <w:rsid w:val="00BB43EE"/>
    <w:rsid w:val="00BC1598"/>
    <w:rsid w:val="00BC53F1"/>
    <w:rsid w:val="00BD1884"/>
    <w:rsid w:val="00C01F28"/>
    <w:rsid w:val="00C05375"/>
    <w:rsid w:val="00C33576"/>
    <w:rsid w:val="00C510E0"/>
    <w:rsid w:val="00C53891"/>
    <w:rsid w:val="00C71124"/>
    <w:rsid w:val="00C8688E"/>
    <w:rsid w:val="00C96CD9"/>
    <w:rsid w:val="00CA2CBD"/>
    <w:rsid w:val="00CB741E"/>
    <w:rsid w:val="00CF2719"/>
    <w:rsid w:val="00D0768F"/>
    <w:rsid w:val="00D17DB5"/>
    <w:rsid w:val="00D31158"/>
    <w:rsid w:val="00D34CA2"/>
    <w:rsid w:val="00D35397"/>
    <w:rsid w:val="00D40D8A"/>
    <w:rsid w:val="00D421E3"/>
    <w:rsid w:val="00D64D22"/>
    <w:rsid w:val="00D65CD7"/>
    <w:rsid w:val="00D76E49"/>
    <w:rsid w:val="00D92302"/>
    <w:rsid w:val="00DF25EA"/>
    <w:rsid w:val="00E400D3"/>
    <w:rsid w:val="00E4477B"/>
    <w:rsid w:val="00E60FBD"/>
    <w:rsid w:val="00E811E8"/>
    <w:rsid w:val="00EE73FA"/>
    <w:rsid w:val="00EF2628"/>
    <w:rsid w:val="00F13630"/>
    <w:rsid w:val="00F82ED9"/>
    <w:rsid w:val="00FB6CC9"/>
    <w:rsid w:val="00FC0F20"/>
    <w:rsid w:val="00FC37D7"/>
    <w:rsid w:val="00FC7E4C"/>
    <w:rsid w:val="00FE29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49C42"/>
  <w15:docId w15:val="{1D977FEF-5C70-46F1-9D15-C388C70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F28"/>
    <w:rPr>
      <w:rFonts w:ascii="Trebuchet MS" w:hAnsi="Trebuchet MS" w:cs="Arial"/>
      <w:sz w:val="22"/>
      <w:szCs w:val="24"/>
      <w:lang w:val="en-GB" w:eastAsia="en-US"/>
    </w:rPr>
  </w:style>
  <w:style w:type="paragraph" w:styleId="Heading1">
    <w:name w:val="heading 1"/>
    <w:basedOn w:val="Normal"/>
    <w:next w:val="Normal"/>
    <w:qFormat/>
    <w:rsid w:val="00C01F28"/>
    <w:pPr>
      <w:keepNext/>
      <w:spacing w:before="240" w:after="60"/>
      <w:outlineLvl w:val="0"/>
    </w:pPr>
    <w:rPr>
      <w:b/>
      <w:bCs/>
      <w:i/>
      <w:kern w:val="28"/>
      <w:sz w:val="32"/>
      <w:szCs w:val="32"/>
    </w:rPr>
  </w:style>
  <w:style w:type="paragraph" w:styleId="Heading2">
    <w:name w:val="heading 2"/>
    <w:basedOn w:val="Normal"/>
    <w:next w:val="Normal"/>
    <w:qFormat/>
    <w:rsid w:val="00C01F28"/>
    <w:pPr>
      <w:keepNext/>
      <w:spacing w:before="240" w:after="60"/>
      <w:outlineLvl w:val="1"/>
    </w:pPr>
    <w:rPr>
      <w:b/>
      <w:bCs/>
      <w:iCs/>
      <w:sz w:val="28"/>
      <w:szCs w:val="28"/>
    </w:rPr>
  </w:style>
  <w:style w:type="paragraph" w:styleId="Heading3">
    <w:name w:val="heading 3"/>
    <w:basedOn w:val="Normal"/>
    <w:next w:val="Normal"/>
    <w:qFormat/>
    <w:rsid w:val="00C01F28"/>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C01F28"/>
    <w:pPr>
      <w:tabs>
        <w:tab w:val="center" w:pos="4153"/>
        <w:tab w:val="right" w:pos="8306"/>
      </w:tabs>
    </w:pPr>
    <w:rPr>
      <w:sz w:val="16"/>
    </w:rPr>
  </w:style>
  <w:style w:type="paragraph" w:styleId="Footer">
    <w:name w:val="footer"/>
    <w:basedOn w:val="Normal"/>
    <w:link w:val="FooterChar"/>
    <w:rsid w:val="00C01F28"/>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C01F28"/>
    <w:pPr>
      <w:spacing w:after="120"/>
      <w:ind w:left="1440" w:right="1440"/>
    </w:pPr>
  </w:style>
  <w:style w:type="paragraph" w:styleId="BodyText">
    <w:name w:val="Body Text"/>
    <w:basedOn w:val="Normal"/>
    <w:link w:val="BodyTextChar"/>
    <w:rsid w:val="00C01F28"/>
    <w:pPr>
      <w:spacing w:after="120"/>
      <w:jc w:val="both"/>
    </w:pPr>
  </w:style>
  <w:style w:type="character" w:customStyle="1" w:styleId="BodyTextChar">
    <w:name w:val="Body Text Char"/>
    <w:basedOn w:val="DefaultParagraphFont"/>
    <w:link w:val="BodyText"/>
    <w:rsid w:val="00C01F28"/>
    <w:rPr>
      <w:rFonts w:ascii="Trebuchet MS" w:hAnsi="Trebuchet MS" w:cs="Arial"/>
      <w:sz w:val="22"/>
      <w:szCs w:val="24"/>
      <w:lang w:val="en-GB" w:eastAsia="en-US"/>
    </w:rPr>
  </w:style>
  <w:style w:type="paragraph" w:styleId="TOC1">
    <w:name w:val="toc 1"/>
    <w:basedOn w:val="Normal"/>
    <w:next w:val="Normal"/>
    <w:autoRedefine/>
    <w:rsid w:val="00C01F28"/>
    <w:pPr>
      <w:spacing w:before="120" w:after="60"/>
    </w:pPr>
    <w:rPr>
      <w:b/>
      <w:sz w:val="26"/>
    </w:rPr>
  </w:style>
  <w:style w:type="paragraph" w:styleId="TOC2">
    <w:name w:val="toc 2"/>
    <w:basedOn w:val="Normal"/>
    <w:next w:val="Normal"/>
    <w:autoRedefine/>
    <w:rsid w:val="00C01F28"/>
    <w:pPr>
      <w:spacing w:after="60"/>
      <w:ind w:left="567"/>
    </w:pPr>
    <w:rPr>
      <w:sz w:val="24"/>
    </w:rPr>
  </w:style>
  <w:style w:type="paragraph" w:styleId="TOC3">
    <w:name w:val="toc 3"/>
    <w:basedOn w:val="Normal"/>
    <w:next w:val="Normal"/>
    <w:autoRedefine/>
    <w:rsid w:val="00C01F28"/>
    <w:pPr>
      <w:spacing w:after="60"/>
      <w:ind w:left="1134"/>
    </w:pPr>
    <w:rPr>
      <w:sz w:val="20"/>
    </w:rPr>
  </w:style>
  <w:style w:type="paragraph" w:customStyle="1" w:styleId="Level1letters">
    <w:name w:val="Level1letters"/>
    <w:basedOn w:val="Normal"/>
    <w:rsid w:val="00351793"/>
    <w:pPr>
      <w:numPr>
        <w:numId w:val="5"/>
      </w:numPr>
      <w:tabs>
        <w:tab w:val="clear" w:pos="567"/>
        <w:tab w:val="num" w:pos="360"/>
        <w:tab w:val="right" w:leader="dot" w:pos="8647"/>
      </w:tabs>
      <w:spacing w:before="80" w:after="320" w:line="360" w:lineRule="auto"/>
      <w:ind w:left="0" w:firstLine="0"/>
      <w:jc w:val="both"/>
      <w:outlineLvl w:val="0"/>
    </w:pPr>
    <w:rPr>
      <w:rFonts w:ascii="Arial" w:hAnsi="Arial" w:cs="Times New Roman"/>
      <w:szCs w:val="20"/>
      <w:lang w:val="en-ZA"/>
    </w:rPr>
  </w:style>
  <w:style w:type="paragraph" w:customStyle="1" w:styleId="Level2letters">
    <w:name w:val="Level2letters"/>
    <w:basedOn w:val="Normal"/>
    <w:rsid w:val="00351793"/>
    <w:pPr>
      <w:numPr>
        <w:ilvl w:val="1"/>
        <w:numId w:val="5"/>
      </w:numPr>
      <w:tabs>
        <w:tab w:val="left" w:pos="1134"/>
        <w:tab w:val="right" w:leader="dot" w:pos="8647"/>
      </w:tabs>
      <w:spacing w:after="320" w:line="360" w:lineRule="auto"/>
      <w:jc w:val="both"/>
      <w:outlineLvl w:val="1"/>
    </w:pPr>
    <w:rPr>
      <w:rFonts w:ascii="Arial" w:hAnsi="Arial" w:cs="Times New Roman"/>
      <w:szCs w:val="20"/>
      <w:lang w:val="en-ZA"/>
    </w:rPr>
  </w:style>
  <w:style w:type="paragraph" w:customStyle="1" w:styleId="Level3letters">
    <w:name w:val="Level3letters"/>
    <w:basedOn w:val="Normal"/>
    <w:rsid w:val="00351793"/>
    <w:pPr>
      <w:numPr>
        <w:ilvl w:val="2"/>
        <w:numId w:val="5"/>
      </w:numPr>
      <w:tabs>
        <w:tab w:val="left" w:pos="1701"/>
        <w:tab w:val="right" w:leader="dot" w:pos="8647"/>
      </w:tabs>
      <w:spacing w:after="320" w:line="360" w:lineRule="auto"/>
      <w:jc w:val="both"/>
      <w:outlineLvl w:val="2"/>
    </w:pPr>
    <w:rPr>
      <w:rFonts w:ascii="Arial" w:hAnsi="Arial" w:cs="Times New Roman"/>
      <w:szCs w:val="20"/>
      <w:lang w:val="en-ZA"/>
    </w:rPr>
  </w:style>
  <w:style w:type="paragraph" w:customStyle="1" w:styleId="Level4letters">
    <w:name w:val="Level4letters"/>
    <w:basedOn w:val="Normal"/>
    <w:rsid w:val="00351793"/>
    <w:pPr>
      <w:numPr>
        <w:ilvl w:val="3"/>
        <w:numId w:val="5"/>
      </w:numPr>
      <w:tabs>
        <w:tab w:val="left" w:pos="2268"/>
        <w:tab w:val="right" w:leader="dot" w:pos="8647"/>
      </w:tabs>
      <w:spacing w:after="320" w:line="360" w:lineRule="auto"/>
      <w:jc w:val="both"/>
      <w:outlineLvl w:val="3"/>
    </w:pPr>
    <w:rPr>
      <w:rFonts w:ascii="Arial" w:hAnsi="Arial" w:cs="Times New Roman"/>
      <w:szCs w:val="20"/>
      <w:lang w:val="en-ZA"/>
    </w:rPr>
  </w:style>
  <w:style w:type="paragraph" w:customStyle="1" w:styleId="Level5letters">
    <w:name w:val="Level5letters"/>
    <w:basedOn w:val="Normal"/>
    <w:rsid w:val="00351793"/>
    <w:pPr>
      <w:numPr>
        <w:ilvl w:val="4"/>
        <w:numId w:val="5"/>
      </w:numPr>
      <w:tabs>
        <w:tab w:val="clear" w:pos="1701"/>
        <w:tab w:val="left" w:pos="2835"/>
        <w:tab w:val="right" w:leader="dot" w:pos="8647"/>
      </w:tabs>
      <w:spacing w:after="320" w:line="360" w:lineRule="auto"/>
      <w:ind w:left="2835" w:hanging="2835"/>
      <w:jc w:val="both"/>
      <w:outlineLvl w:val="4"/>
    </w:pPr>
    <w:rPr>
      <w:rFonts w:ascii="Arial" w:hAnsi="Arial" w:cs="Times New Roman"/>
      <w:szCs w:val="20"/>
      <w:lang w:val="en-ZA"/>
    </w:rPr>
  </w:style>
  <w:style w:type="paragraph" w:customStyle="1" w:styleId="Level6letters">
    <w:name w:val="Level6letters"/>
    <w:basedOn w:val="Normal"/>
    <w:rsid w:val="00351793"/>
    <w:pPr>
      <w:numPr>
        <w:ilvl w:val="5"/>
        <w:numId w:val="5"/>
      </w:numPr>
      <w:tabs>
        <w:tab w:val="clear" w:pos="1985"/>
        <w:tab w:val="left" w:pos="3402"/>
        <w:tab w:val="right" w:leader="dot" w:pos="8647"/>
      </w:tabs>
      <w:spacing w:after="320" w:line="360" w:lineRule="auto"/>
      <w:ind w:left="3402" w:hanging="3402"/>
      <w:jc w:val="both"/>
      <w:outlineLvl w:val="5"/>
    </w:pPr>
    <w:rPr>
      <w:rFonts w:ascii="Arial" w:hAnsi="Arial" w:cs="Times New Roman"/>
      <w:szCs w:val="20"/>
      <w:lang w:val="en-ZA"/>
    </w:rPr>
  </w:style>
  <w:style w:type="paragraph" w:customStyle="1" w:styleId="Level7letters">
    <w:name w:val="Level7letters"/>
    <w:basedOn w:val="Normal"/>
    <w:rsid w:val="00351793"/>
    <w:pPr>
      <w:numPr>
        <w:ilvl w:val="6"/>
        <w:numId w:val="5"/>
      </w:numPr>
      <w:tabs>
        <w:tab w:val="clear" w:pos="2268"/>
        <w:tab w:val="left" w:pos="3969"/>
        <w:tab w:val="right" w:leader="dot" w:pos="8647"/>
      </w:tabs>
      <w:spacing w:after="320" w:line="360" w:lineRule="auto"/>
      <w:ind w:left="3969" w:hanging="3969"/>
      <w:jc w:val="both"/>
      <w:outlineLvl w:val="6"/>
    </w:pPr>
    <w:rPr>
      <w:rFonts w:ascii="Arial" w:hAnsi="Arial" w:cs="Times New Roman"/>
      <w:szCs w:val="20"/>
      <w:lang w:val="en-ZA"/>
    </w:rPr>
  </w:style>
  <w:style w:type="paragraph" w:styleId="PlainText">
    <w:name w:val="Plain Text"/>
    <w:basedOn w:val="Normal"/>
    <w:link w:val="PlainTextChar"/>
    <w:uiPriority w:val="99"/>
    <w:unhideWhenUsed/>
    <w:rsid w:val="00563D53"/>
    <w:rPr>
      <w:rFonts w:ascii="Calibri" w:eastAsiaTheme="minorHAnsi" w:hAnsi="Calibri" w:cs="Calibri"/>
      <w:szCs w:val="22"/>
    </w:rPr>
  </w:style>
  <w:style w:type="character" w:customStyle="1" w:styleId="PlainTextChar">
    <w:name w:val="Plain Text Char"/>
    <w:basedOn w:val="DefaultParagraphFont"/>
    <w:link w:val="PlainText"/>
    <w:uiPriority w:val="99"/>
    <w:rsid w:val="00563D53"/>
    <w:rPr>
      <w:rFonts w:ascii="Calibri" w:eastAsiaTheme="minorHAnsi" w:hAnsi="Calibri" w:cs="Calibri"/>
      <w:sz w:val="22"/>
      <w:szCs w:val="22"/>
      <w:lang w:val="en-GB" w:eastAsia="en-US"/>
    </w:rPr>
  </w:style>
  <w:style w:type="paragraph" w:customStyle="1" w:styleId="Default">
    <w:name w:val="Default"/>
    <w:rsid w:val="00563D53"/>
    <w:pPr>
      <w:autoSpaceDE w:val="0"/>
      <w:autoSpaceDN w:val="0"/>
      <w:adjustRightInd w:val="0"/>
    </w:pPr>
    <w:rPr>
      <w:rFonts w:ascii="Trebuchet MS" w:eastAsiaTheme="minorHAnsi" w:hAnsi="Trebuchet MS" w:cs="Trebuchet MS"/>
      <w:color w:val="000000"/>
      <w:sz w:val="24"/>
      <w:szCs w:val="24"/>
      <w:lang w:val="en-GB" w:eastAsia="en-US"/>
    </w:rPr>
  </w:style>
  <w:style w:type="paragraph" w:customStyle="1" w:styleId="hv">
    <w:name w:val="hv"/>
    <w:basedOn w:val="Normal"/>
    <w:rsid w:val="00563D53"/>
    <w:pPr>
      <w:spacing w:before="100" w:beforeAutospacing="1" w:after="100" w:afterAutospacing="1"/>
    </w:pPr>
    <w:rPr>
      <w:rFonts w:ascii="Times New Roman" w:hAnsi="Times New Roman" w:cs="Times New Roman"/>
      <w:sz w:val="24"/>
      <w:lang w:eastAsia="en-GB"/>
    </w:rPr>
  </w:style>
  <w:style w:type="character" w:styleId="Hyperlink">
    <w:name w:val="Hyperlink"/>
    <w:basedOn w:val="DefaultParagraphFont"/>
    <w:uiPriority w:val="99"/>
    <w:semiHidden/>
    <w:unhideWhenUsed/>
    <w:rsid w:val="00563D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Mahlatse@marketingconcepts.co.za" TargetMode="Externa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jee\Desktop\New%20folder%20(2)\Growthpoint\Stationery\Electronic%20Letterheads\Electronic%20Letterheads\Properties\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6A8A30B0F7143A07B7625ECD434B7" ma:contentTypeVersion="4" ma:contentTypeDescription="Create a new document." ma:contentTypeScope="" ma:versionID="963e69eb79034c40eca3af92e0341d53">
  <xsd:schema xmlns:xsd="http://www.w3.org/2001/XMLSchema" xmlns:xs="http://www.w3.org/2001/XMLSchema" xmlns:p="http://schemas.microsoft.com/office/2006/metadata/properties" xmlns:ns2="0da0652d-15b1-40ad-8b1f-7f04734b2242" xmlns:ns3="34b45ad1-52f3-4988-b2c6-6ce62e1bb65a" targetNamespace="http://schemas.microsoft.com/office/2006/metadata/properties" ma:root="true" ma:fieldsID="9d7ddf3242a6b403edfb22a6c4b716d7" ns2:_="" ns3:_="">
    <xsd:import namespace="0da0652d-15b1-40ad-8b1f-7f04734b2242"/>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652d-15b1-40ad-8b1f-7f04734b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D8285-4FC1-4E13-83EE-D6B0BB90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0652d-15b1-40ad-8b1f-7f04734b2242"/>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39420-C403-4BEA-A429-BEDF32C38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04C15D-32D9-4179-9CD5-CDB340EA6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Johannesburg_Prop</Template>
  <TotalTime>0</TotalTime>
  <Pages>5</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Mahlatse Bojanyane</cp:lastModifiedBy>
  <cp:revision>3</cp:revision>
  <cp:lastPrinted>2021-03-18T08:05:00Z</cp:lastPrinted>
  <dcterms:created xsi:type="dcterms:W3CDTF">2021-09-15T08:47:00Z</dcterms:created>
  <dcterms:modified xsi:type="dcterms:W3CDTF">2021-09-15T08:51:00Z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0x0101005C46A8A30B0F7143A07B7625ECD434B7</vt:lpwstr>
  </property>
</Properties>
</file>