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0ED3F" w14:textId="6F62B326" w:rsidR="00BB638D" w:rsidRPr="00220389" w:rsidRDefault="00BB638D" w:rsidP="00AC5B1A">
      <w:pPr>
        <w:pStyle w:val="PlainText"/>
        <w:spacing w:line="276" w:lineRule="auto"/>
        <w:rPr>
          <w:rFonts w:asciiTheme="majorHAnsi" w:hAnsiTheme="majorHAnsi" w:cstheme="majorHAnsi"/>
          <w:sz w:val="21"/>
        </w:rPr>
      </w:pPr>
      <w:bookmarkStart w:id="0" w:name="_Hlk115354398"/>
      <w:r w:rsidRPr="00220389">
        <w:rPr>
          <w:rFonts w:asciiTheme="majorHAnsi" w:hAnsiTheme="majorHAnsi" w:cstheme="majorHAnsi"/>
          <w:sz w:val="21"/>
        </w:rPr>
        <w:t xml:space="preserve">MEDIA RELEASE </w:t>
      </w:r>
    </w:p>
    <w:p w14:paraId="20CCA0B5" w14:textId="53C15BF4" w:rsidR="00A86C22" w:rsidRDefault="0066378F" w:rsidP="00AC5B1A">
      <w:pPr>
        <w:spacing w:after="0" w:line="276" w:lineRule="auto"/>
        <w:rPr>
          <w:rFonts w:asciiTheme="majorHAnsi" w:hAnsiTheme="majorHAnsi" w:cstheme="majorHAnsi"/>
          <w:sz w:val="21"/>
          <w:szCs w:val="21"/>
        </w:rPr>
      </w:pPr>
      <w:r>
        <w:rPr>
          <w:rFonts w:asciiTheme="majorHAnsi" w:hAnsiTheme="majorHAnsi" w:cstheme="majorHAnsi"/>
          <w:sz w:val="21"/>
          <w:szCs w:val="21"/>
        </w:rPr>
        <w:t>16 November</w:t>
      </w:r>
      <w:r w:rsidR="00A86C22" w:rsidRPr="00220389">
        <w:rPr>
          <w:rFonts w:asciiTheme="majorHAnsi" w:hAnsiTheme="majorHAnsi" w:cstheme="majorHAnsi"/>
          <w:sz w:val="21"/>
          <w:szCs w:val="21"/>
        </w:rPr>
        <w:t xml:space="preserve"> 2023</w:t>
      </w:r>
    </w:p>
    <w:p w14:paraId="3AECB178" w14:textId="77777777" w:rsidR="0066378F" w:rsidRPr="00220389" w:rsidRDefault="0066378F" w:rsidP="00AC5B1A">
      <w:pPr>
        <w:spacing w:after="0" w:line="276" w:lineRule="auto"/>
        <w:rPr>
          <w:rFonts w:asciiTheme="majorHAnsi" w:hAnsiTheme="majorHAnsi" w:cstheme="majorHAnsi"/>
          <w:sz w:val="21"/>
          <w:szCs w:val="21"/>
        </w:rPr>
      </w:pPr>
    </w:p>
    <w:p w14:paraId="0E18E5F6" w14:textId="1C12FC79" w:rsidR="0066378F" w:rsidRPr="00255060" w:rsidRDefault="0066378F" w:rsidP="00745B6B">
      <w:pPr>
        <w:pBdr>
          <w:top w:val="single" w:sz="4" w:space="1" w:color="auto"/>
          <w:left w:val="single" w:sz="4" w:space="4" w:color="auto"/>
          <w:bottom w:val="single" w:sz="4" w:space="1" w:color="auto"/>
          <w:right w:val="single" w:sz="4" w:space="4" w:color="auto"/>
        </w:pBdr>
        <w:spacing w:after="0"/>
        <w:jc w:val="both"/>
        <w:rPr>
          <w:rFonts w:cstheme="minorHAnsi"/>
          <w:color w:val="FF0000"/>
          <w:sz w:val="18"/>
          <w:szCs w:val="18"/>
        </w:rPr>
      </w:pPr>
      <w:r w:rsidRPr="00255060">
        <w:rPr>
          <w:rFonts w:cstheme="minorHAnsi"/>
          <w:b/>
          <w:bCs/>
          <w:color w:val="FF0000"/>
          <w:sz w:val="18"/>
          <w:szCs w:val="18"/>
          <w:lang w:val="en-US"/>
        </w:rPr>
        <w:t>*Please take note:</w:t>
      </w:r>
      <w:r w:rsidR="00FB0FB6">
        <w:rPr>
          <w:rFonts w:cstheme="minorHAnsi"/>
          <w:b/>
          <w:bCs/>
          <w:color w:val="FF0000"/>
          <w:sz w:val="18"/>
          <w:szCs w:val="18"/>
          <w:lang w:val="en-US"/>
        </w:rPr>
        <w:t xml:space="preserve"> </w:t>
      </w:r>
      <w:r w:rsidRPr="004B05B8">
        <w:rPr>
          <w:rFonts w:cstheme="minorHAnsi"/>
          <w:color w:val="FF0000"/>
          <w:sz w:val="18"/>
          <w:szCs w:val="18"/>
          <w:lang w:val="en-US"/>
        </w:rPr>
        <w:t xml:space="preserve">Emira changed its financial year-end from 30 June to 31 March, </w:t>
      </w:r>
      <w:r w:rsidR="00745B6B">
        <w:rPr>
          <w:rFonts w:cstheme="minorHAnsi"/>
          <w:color w:val="FF0000"/>
          <w:sz w:val="18"/>
          <w:szCs w:val="18"/>
          <w:lang w:val="en-US"/>
        </w:rPr>
        <w:t>resulting</w:t>
      </w:r>
      <w:r w:rsidRPr="004B05B8">
        <w:rPr>
          <w:rFonts w:cstheme="minorHAnsi"/>
          <w:color w:val="FF0000"/>
          <w:sz w:val="18"/>
          <w:szCs w:val="18"/>
          <w:lang w:val="en-US"/>
        </w:rPr>
        <w:t xml:space="preserve"> in its FY23 being </w:t>
      </w:r>
      <w:r w:rsidRPr="004B05B8">
        <w:rPr>
          <w:rFonts w:cstheme="minorHAnsi"/>
          <w:color w:val="FF0000"/>
          <w:sz w:val="18"/>
          <w:szCs w:val="18"/>
        </w:rPr>
        <w:t>nine (9) months to 31 March 2023</w:t>
      </w:r>
      <w:r w:rsidRPr="004B05B8">
        <w:rPr>
          <w:rFonts w:cstheme="minorHAnsi"/>
          <w:color w:val="FF0000"/>
          <w:sz w:val="18"/>
          <w:szCs w:val="18"/>
          <w:lang w:val="en-US"/>
        </w:rPr>
        <w:t xml:space="preserve">. </w:t>
      </w:r>
      <w:r w:rsidRPr="004B05B8">
        <w:rPr>
          <w:rFonts w:cstheme="minorHAnsi"/>
          <w:color w:val="FF0000"/>
          <w:sz w:val="18"/>
          <w:szCs w:val="18"/>
        </w:rPr>
        <w:t xml:space="preserve">The six-month H1 of FY23 ended on 31 December 2022 and the six-month H1 of FY24 ended on 30 September 2023. While the </w:t>
      </w:r>
      <w:r w:rsidR="00745B6B">
        <w:rPr>
          <w:rFonts w:cstheme="minorHAnsi"/>
          <w:color w:val="FF0000"/>
          <w:sz w:val="18"/>
          <w:szCs w:val="18"/>
        </w:rPr>
        <w:t xml:space="preserve">H1 </w:t>
      </w:r>
      <w:r w:rsidRPr="004B05B8">
        <w:rPr>
          <w:rFonts w:cstheme="minorHAnsi"/>
          <w:color w:val="FF0000"/>
          <w:sz w:val="18"/>
          <w:szCs w:val="18"/>
        </w:rPr>
        <w:t xml:space="preserve">periods cover the same number of months, the comparability of certain items may be impacted by seasonal adjustments. The company has stated that during this time of change, it </w:t>
      </w:r>
      <w:r w:rsidR="00745B6B">
        <w:rPr>
          <w:rFonts w:cstheme="minorHAnsi"/>
          <w:color w:val="FF0000"/>
          <w:sz w:val="18"/>
          <w:szCs w:val="18"/>
        </w:rPr>
        <w:t>will focus</w:t>
      </w:r>
      <w:r w:rsidRPr="004B05B8">
        <w:rPr>
          <w:rFonts w:cstheme="minorHAnsi"/>
          <w:color w:val="FF0000"/>
          <w:sz w:val="18"/>
          <w:szCs w:val="18"/>
        </w:rPr>
        <w:t xml:space="preserve"> on strategic progress and operational metrics.</w:t>
      </w:r>
    </w:p>
    <w:p w14:paraId="6C3AD77F" w14:textId="77777777" w:rsidR="0066378F" w:rsidRPr="0044559F" w:rsidRDefault="0066378F" w:rsidP="0066378F">
      <w:pPr>
        <w:spacing w:after="0"/>
        <w:jc w:val="center"/>
        <w:rPr>
          <w:rFonts w:cstheme="minorHAnsi"/>
          <w:b/>
          <w:bCs/>
          <w:lang w:val="en-US"/>
        </w:rPr>
      </w:pPr>
    </w:p>
    <w:p w14:paraId="286A07C4" w14:textId="77777777" w:rsidR="0066378F" w:rsidRPr="0056684A" w:rsidRDefault="0066378F" w:rsidP="00A60E29">
      <w:pPr>
        <w:spacing w:after="0" w:line="240" w:lineRule="auto"/>
        <w:jc w:val="center"/>
        <w:rPr>
          <w:rFonts w:asciiTheme="majorHAnsi" w:hAnsiTheme="majorHAnsi" w:cstheme="majorHAnsi"/>
          <w:color w:val="FF0000"/>
          <w:sz w:val="20"/>
          <w:szCs w:val="20"/>
        </w:rPr>
      </w:pPr>
      <w:r w:rsidRPr="0056684A">
        <w:rPr>
          <w:rFonts w:asciiTheme="majorHAnsi" w:hAnsiTheme="majorHAnsi" w:cstheme="majorHAnsi"/>
          <w:b/>
          <w:bCs/>
          <w:sz w:val="32"/>
          <w:szCs w:val="32"/>
          <w:lang w:val="en-US"/>
        </w:rPr>
        <w:t xml:space="preserve">Emira ticks off strategic targets in a productive and positive first </w:t>
      </w:r>
      <w:proofErr w:type="gramStart"/>
      <w:r w:rsidRPr="0056684A">
        <w:rPr>
          <w:rFonts w:asciiTheme="majorHAnsi" w:hAnsiTheme="majorHAnsi" w:cstheme="majorHAnsi"/>
          <w:b/>
          <w:bCs/>
          <w:sz w:val="32"/>
          <w:szCs w:val="32"/>
          <w:lang w:val="en-US"/>
        </w:rPr>
        <w:t>half</w:t>
      </w:r>
      <w:proofErr w:type="gramEnd"/>
    </w:p>
    <w:p w14:paraId="06B8C1F3" w14:textId="77777777" w:rsidR="0066378F" w:rsidRPr="0056684A" w:rsidRDefault="0066378F" w:rsidP="00A60E29">
      <w:pPr>
        <w:spacing w:after="0" w:line="240" w:lineRule="auto"/>
        <w:rPr>
          <w:rFonts w:asciiTheme="majorHAnsi" w:hAnsiTheme="majorHAnsi" w:cstheme="majorHAnsi"/>
          <w:lang w:val="en-US"/>
        </w:rPr>
      </w:pPr>
    </w:p>
    <w:p w14:paraId="71240392" w14:textId="60278B26" w:rsidR="0066378F" w:rsidRPr="00A60E29" w:rsidRDefault="0066378F" w:rsidP="00A60E29">
      <w:pPr>
        <w:spacing w:after="0" w:line="240" w:lineRule="auto"/>
        <w:jc w:val="both"/>
        <w:rPr>
          <w:rFonts w:asciiTheme="majorHAnsi" w:hAnsiTheme="majorHAnsi" w:cstheme="majorHAnsi"/>
          <w:b/>
          <w:bCs/>
          <w:lang w:val="en-US"/>
        </w:rPr>
      </w:pPr>
      <w:r w:rsidRPr="00A60E29">
        <w:rPr>
          <w:rFonts w:asciiTheme="majorHAnsi" w:hAnsiTheme="majorHAnsi" w:cstheme="majorHAnsi"/>
          <w:b/>
          <w:bCs/>
          <w:lang w:val="en-US"/>
        </w:rPr>
        <w:t>Emira Property Fund (JSE: EMI)</w:t>
      </w:r>
      <w:r w:rsidR="0044559F" w:rsidRPr="00A60E29">
        <w:rPr>
          <w:rFonts w:asciiTheme="majorHAnsi" w:hAnsiTheme="majorHAnsi" w:cstheme="majorHAnsi"/>
          <w:b/>
          <w:bCs/>
          <w:lang w:val="en-US"/>
        </w:rPr>
        <w:t xml:space="preserve">, </w:t>
      </w:r>
      <w:r w:rsidR="0044559F" w:rsidRPr="00A60E29">
        <w:rPr>
          <w:rFonts w:asciiTheme="majorHAnsi" w:hAnsiTheme="majorHAnsi" w:cstheme="majorHAnsi"/>
          <w:b/>
          <w:bCs/>
          <w:color w:val="000000"/>
          <w:shd w:val="clear" w:color="auto" w:fill="FFFFFF"/>
        </w:rPr>
        <w:t>the diversified, balanced REIT with a track record of delivering stability and sustainability through different cycles,</w:t>
      </w:r>
      <w:r w:rsidRPr="00A60E29">
        <w:rPr>
          <w:rFonts w:asciiTheme="majorHAnsi" w:hAnsiTheme="majorHAnsi" w:cstheme="majorHAnsi"/>
          <w:b/>
          <w:bCs/>
          <w:lang w:val="en-US"/>
        </w:rPr>
        <w:t xml:space="preserve"> achieved several strategic milestones while improving key operating metrics across its diversified portfolio</w:t>
      </w:r>
      <w:r w:rsidR="0044559F" w:rsidRPr="00A60E29">
        <w:rPr>
          <w:rFonts w:asciiTheme="majorHAnsi" w:hAnsiTheme="majorHAnsi" w:cstheme="majorHAnsi"/>
          <w:b/>
          <w:bCs/>
          <w:lang w:val="en-US"/>
        </w:rPr>
        <w:t xml:space="preserve"> during a busy six months to 30 September 2023 defined by successful capital recycling and de-risking.</w:t>
      </w:r>
    </w:p>
    <w:p w14:paraId="18939D94" w14:textId="77777777" w:rsidR="0044559F" w:rsidRPr="0044559F" w:rsidRDefault="0044559F" w:rsidP="00A60E29">
      <w:pPr>
        <w:spacing w:after="0" w:line="240" w:lineRule="auto"/>
        <w:jc w:val="both"/>
        <w:rPr>
          <w:rFonts w:asciiTheme="majorHAnsi" w:hAnsiTheme="majorHAnsi" w:cstheme="majorHAnsi"/>
          <w:b/>
          <w:bCs/>
          <w:lang w:val="en-US"/>
        </w:rPr>
      </w:pPr>
    </w:p>
    <w:p w14:paraId="138FEE02" w14:textId="7896EBFB" w:rsidR="00C2672B" w:rsidRDefault="0066378F" w:rsidP="00A60E29">
      <w:pPr>
        <w:pStyle w:val="PlainText"/>
        <w:jc w:val="both"/>
        <w:rPr>
          <w:rFonts w:asciiTheme="majorHAnsi" w:hAnsiTheme="majorHAnsi" w:cstheme="majorHAnsi"/>
          <w:szCs w:val="22"/>
        </w:rPr>
      </w:pPr>
      <w:r w:rsidRPr="0056684A">
        <w:rPr>
          <w:rFonts w:asciiTheme="majorHAnsi" w:hAnsiTheme="majorHAnsi" w:cstheme="majorHAnsi"/>
          <w:lang w:val="en-US"/>
        </w:rPr>
        <w:t>Emira</w:t>
      </w:r>
      <w:r w:rsidR="0044559F">
        <w:rPr>
          <w:rFonts w:asciiTheme="majorHAnsi" w:hAnsiTheme="majorHAnsi" w:cstheme="majorHAnsi"/>
          <w:lang w:val="en-US"/>
        </w:rPr>
        <w:t xml:space="preserve"> </w:t>
      </w:r>
      <w:r w:rsidRPr="0056684A">
        <w:rPr>
          <w:rFonts w:asciiTheme="majorHAnsi" w:hAnsiTheme="majorHAnsi" w:cstheme="majorHAnsi"/>
          <w:lang w:val="en-US"/>
        </w:rPr>
        <w:t>successfully concluded two major transactions</w:t>
      </w:r>
      <w:r w:rsidR="0075692A">
        <w:rPr>
          <w:rFonts w:asciiTheme="majorHAnsi" w:hAnsiTheme="majorHAnsi" w:cstheme="majorHAnsi"/>
          <w:lang w:val="en-US"/>
        </w:rPr>
        <w:t>. It completed</w:t>
      </w:r>
      <w:r w:rsidRPr="0056684A">
        <w:rPr>
          <w:rFonts w:asciiTheme="majorHAnsi" w:hAnsiTheme="majorHAnsi" w:cstheme="majorHAnsi"/>
          <w:lang w:val="en-US"/>
        </w:rPr>
        <w:t xml:space="preserve"> the disposal </w:t>
      </w:r>
      <w:r w:rsidRPr="0056684A">
        <w:rPr>
          <w:rFonts w:asciiTheme="majorHAnsi" w:hAnsiTheme="majorHAnsi" w:cstheme="majorHAnsi"/>
          <w:szCs w:val="22"/>
        </w:rPr>
        <w:t xml:space="preserve">and transfer of its holding in </w:t>
      </w:r>
      <w:r w:rsidR="00A60E29">
        <w:rPr>
          <w:rFonts w:asciiTheme="majorHAnsi" w:hAnsiTheme="majorHAnsi" w:cstheme="majorHAnsi"/>
          <w:szCs w:val="22"/>
        </w:rPr>
        <w:t xml:space="preserve">the rural and lower-income </w:t>
      </w:r>
      <w:r w:rsidRPr="0056684A">
        <w:rPr>
          <w:rFonts w:asciiTheme="majorHAnsi" w:hAnsiTheme="majorHAnsi" w:cstheme="majorHAnsi"/>
          <w:szCs w:val="22"/>
        </w:rPr>
        <w:t>retail property venture Enyuka Property Fund to co-investor One Property Holdings</w:t>
      </w:r>
      <w:r w:rsidR="00FB0FB6">
        <w:rPr>
          <w:rFonts w:asciiTheme="majorHAnsi" w:hAnsiTheme="majorHAnsi" w:cstheme="majorHAnsi"/>
          <w:szCs w:val="22"/>
        </w:rPr>
        <w:t xml:space="preserve">, </w:t>
      </w:r>
      <w:r w:rsidR="002D4AAE">
        <w:rPr>
          <w:rFonts w:asciiTheme="majorHAnsi" w:hAnsiTheme="majorHAnsi" w:cstheme="majorHAnsi"/>
          <w:szCs w:val="22"/>
        </w:rPr>
        <w:t xml:space="preserve">successfully exiting an indirect investment at a favourable price in a single deal aligned with its objectives. </w:t>
      </w:r>
      <w:r w:rsidR="0075692A">
        <w:rPr>
          <w:rFonts w:asciiTheme="majorHAnsi" w:hAnsiTheme="majorHAnsi" w:cstheme="majorHAnsi"/>
          <w:szCs w:val="22"/>
        </w:rPr>
        <w:t xml:space="preserve">It also finalised the </w:t>
      </w:r>
      <w:r w:rsidR="00793E08">
        <w:rPr>
          <w:rFonts w:asciiTheme="majorHAnsi" w:hAnsiTheme="majorHAnsi" w:cstheme="majorHAnsi"/>
          <w:szCs w:val="22"/>
        </w:rPr>
        <w:t>scheme of arrangement for</w:t>
      </w:r>
      <w:r w:rsidRPr="0056684A">
        <w:rPr>
          <w:rFonts w:asciiTheme="majorHAnsi" w:hAnsiTheme="majorHAnsi" w:cstheme="majorHAnsi"/>
          <w:szCs w:val="22"/>
        </w:rPr>
        <w:t xml:space="preserve"> specialist residential REIT Transcend Property Fund</w:t>
      </w:r>
      <w:r w:rsidR="0075692A">
        <w:rPr>
          <w:rFonts w:asciiTheme="majorHAnsi" w:hAnsiTheme="majorHAnsi" w:cstheme="majorHAnsi"/>
          <w:szCs w:val="22"/>
        </w:rPr>
        <w:t>,</w:t>
      </w:r>
      <w:r w:rsidR="00986536">
        <w:rPr>
          <w:rFonts w:asciiTheme="majorHAnsi" w:hAnsiTheme="majorHAnsi" w:cstheme="majorHAnsi"/>
          <w:szCs w:val="22"/>
        </w:rPr>
        <w:t xml:space="preserve"> </w:t>
      </w:r>
      <w:r w:rsidR="002D4AAE">
        <w:rPr>
          <w:rFonts w:asciiTheme="majorHAnsi" w:hAnsiTheme="majorHAnsi" w:cstheme="majorHAnsi"/>
          <w:szCs w:val="22"/>
        </w:rPr>
        <w:t xml:space="preserve">enlarging its </w:t>
      </w:r>
      <w:r w:rsidR="00986536">
        <w:rPr>
          <w:rFonts w:asciiTheme="majorHAnsi" w:hAnsiTheme="majorHAnsi" w:cstheme="majorHAnsi"/>
          <w:szCs w:val="22"/>
        </w:rPr>
        <w:t xml:space="preserve">foothold in the </w:t>
      </w:r>
      <w:r w:rsidR="00986536" w:rsidRPr="0056684A">
        <w:rPr>
          <w:rFonts w:asciiTheme="majorHAnsi" w:hAnsiTheme="majorHAnsi" w:cstheme="majorHAnsi"/>
          <w:szCs w:val="22"/>
        </w:rPr>
        <w:t>defensive residential property sector</w:t>
      </w:r>
      <w:r w:rsidR="002D4AAE">
        <w:rPr>
          <w:rFonts w:asciiTheme="majorHAnsi" w:hAnsiTheme="majorHAnsi" w:cstheme="majorHAnsi"/>
          <w:szCs w:val="22"/>
        </w:rPr>
        <w:t xml:space="preserve"> that now represents </w:t>
      </w:r>
      <w:r w:rsidR="00EE454C">
        <w:rPr>
          <w:rFonts w:asciiTheme="majorHAnsi" w:hAnsiTheme="majorHAnsi" w:cstheme="majorHAnsi"/>
          <w:szCs w:val="22"/>
        </w:rPr>
        <w:t>16</w:t>
      </w:r>
      <w:r w:rsidR="002D4AAE">
        <w:rPr>
          <w:rFonts w:asciiTheme="majorHAnsi" w:hAnsiTheme="majorHAnsi" w:cstheme="majorHAnsi"/>
          <w:szCs w:val="22"/>
        </w:rPr>
        <w:t xml:space="preserve">% of </w:t>
      </w:r>
      <w:r w:rsidR="00A60E29">
        <w:rPr>
          <w:rFonts w:asciiTheme="majorHAnsi" w:hAnsiTheme="majorHAnsi" w:cstheme="majorHAnsi"/>
          <w:szCs w:val="22"/>
        </w:rPr>
        <w:t>Emira’s</w:t>
      </w:r>
      <w:r w:rsidR="002D4AAE">
        <w:rPr>
          <w:rFonts w:asciiTheme="majorHAnsi" w:hAnsiTheme="majorHAnsi" w:cstheme="majorHAnsi"/>
          <w:szCs w:val="22"/>
        </w:rPr>
        <w:t xml:space="preserve"> South African portfolio value</w:t>
      </w:r>
      <w:r w:rsidR="00986536">
        <w:rPr>
          <w:rFonts w:asciiTheme="majorHAnsi" w:hAnsiTheme="majorHAnsi" w:cstheme="majorHAnsi"/>
          <w:szCs w:val="22"/>
        </w:rPr>
        <w:t>.</w:t>
      </w:r>
    </w:p>
    <w:p w14:paraId="11510EDA" w14:textId="77777777" w:rsidR="00C2672B" w:rsidRDefault="00C2672B" w:rsidP="00A60E29">
      <w:pPr>
        <w:pStyle w:val="PlainText"/>
        <w:jc w:val="both"/>
        <w:rPr>
          <w:rFonts w:asciiTheme="majorHAnsi" w:hAnsiTheme="majorHAnsi" w:cstheme="majorHAnsi"/>
          <w:szCs w:val="22"/>
        </w:rPr>
      </w:pPr>
    </w:p>
    <w:p w14:paraId="74EA1894" w14:textId="79DCF1BB" w:rsidR="001C246B" w:rsidRDefault="00CC479C" w:rsidP="00A60E29">
      <w:pPr>
        <w:pStyle w:val="PlainText"/>
        <w:jc w:val="both"/>
        <w:rPr>
          <w:rStyle w:val="normaltextrun"/>
          <w:rFonts w:ascii="Calibri Light" w:hAnsi="Calibri Light" w:cs="Calibri Light"/>
          <w:color w:val="000000"/>
          <w:sz w:val="21"/>
        </w:rPr>
      </w:pPr>
      <w:r>
        <w:rPr>
          <w:rFonts w:asciiTheme="majorHAnsi" w:hAnsiTheme="majorHAnsi" w:cstheme="majorHAnsi"/>
          <w:lang w:val="en-US"/>
        </w:rPr>
        <w:t xml:space="preserve">Additionally, Emira </w:t>
      </w:r>
      <w:r w:rsidR="0066378F" w:rsidRPr="0056684A">
        <w:rPr>
          <w:rFonts w:asciiTheme="majorHAnsi" w:hAnsiTheme="majorHAnsi" w:cstheme="majorHAnsi"/>
          <w:lang w:val="en-US"/>
        </w:rPr>
        <w:t xml:space="preserve">moved </w:t>
      </w:r>
      <w:r w:rsidR="001C246B">
        <w:rPr>
          <w:rFonts w:asciiTheme="majorHAnsi" w:hAnsiTheme="majorHAnsi" w:cstheme="majorHAnsi"/>
          <w:lang w:val="en-US"/>
        </w:rPr>
        <w:t>beyond the halfway mark in the</w:t>
      </w:r>
      <w:r w:rsidR="0066378F" w:rsidRPr="0056684A">
        <w:rPr>
          <w:rFonts w:asciiTheme="majorHAnsi" w:hAnsiTheme="majorHAnsi" w:cstheme="majorHAnsi"/>
          <w:lang w:val="en-US"/>
        </w:rPr>
        <w:t xml:space="preserve"> sale of its units at The Bolton</w:t>
      </w:r>
      <w:r>
        <w:rPr>
          <w:rFonts w:asciiTheme="majorHAnsi" w:hAnsiTheme="majorHAnsi" w:cstheme="majorHAnsi"/>
          <w:lang w:val="en-US"/>
        </w:rPr>
        <w:t xml:space="preserve">. </w:t>
      </w:r>
      <w:r w:rsidR="001C246B" w:rsidRPr="001C246B">
        <w:rPr>
          <w:rStyle w:val="normaltextrun"/>
          <w:rFonts w:ascii="Calibri Light" w:hAnsi="Calibri Light" w:cs="Calibri Light"/>
          <w:color w:val="000000"/>
          <w:sz w:val="21"/>
        </w:rPr>
        <w:t xml:space="preserve">It has completed a full cycle with The Bolton, transforming offices into residential units and fully leasing them, and now reaching the stage where the best use of this capital was to sell off </w:t>
      </w:r>
      <w:r w:rsidR="00A60E29">
        <w:rPr>
          <w:rStyle w:val="normaltextrun"/>
          <w:rFonts w:ascii="Calibri Light" w:hAnsi="Calibri Light" w:cs="Calibri Light"/>
          <w:color w:val="000000"/>
          <w:sz w:val="21"/>
        </w:rPr>
        <w:t>individual units</w:t>
      </w:r>
      <w:r w:rsidR="00EE454C">
        <w:rPr>
          <w:rStyle w:val="normaltextrun"/>
          <w:rFonts w:ascii="Calibri Light" w:hAnsi="Calibri Light" w:cs="Calibri Light"/>
          <w:color w:val="000000"/>
          <w:sz w:val="21"/>
        </w:rPr>
        <w:t>, at higher prices,</w:t>
      </w:r>
      <w:r w:rsidR="00A60E29">
        <w:rPr>
          <w:rStyle w:val="normaltextrun"/>
          <w:rFonts w:ascii="Calibri Light" w:hAnsi="Calibri Light" w:cs="Calibri Light"/>
          <w:color w:val="000000"/>
          <w:sz w:val="21"/>
        </w:rPr>
        <w:t xml:space="preserve"> </w:t>
      </w:r>
      <w:r w:rsidR="001C246B" w:rsidRPr="001C246B">
        <w:rPr>
          <w:rStyle w:val="normaltextrun"/>
          <w:rFonts w:ascii="Calibri Light" w:hAnsi="Calibri Light" w:cs="Calibri Light"/>
          <w:color w:val="000000"/>
          <w:sz w:val="21"/>
        </w:rPr>
        <w:t xml:space="preserve">on </w:t>
      </w:r>
      <w:r w:rsidR="00A60E29">
        <w:rPr>
          <w:rStyle w:val="normaltextrun"/>
          <w:rFonts w:ascii="Calibri Light" w:hAnsi="Calibri Light" w:cs="Calibri Light"/>
          <w:color w:val="000000"/>
          <w:sz w:val="21"/>
        </w:rPr>
        <w:t>a</w:t>
      </w:r>
      <w:r w:rsidR="001C246B" w:rsidRPr="001C246B">
        <w:rPr>
          <w:rStyle w:val="normaltextrun"/>
          <w:rFonts w:ascii="Calibri Light" w:hAnsi="Calibri Light" w:cs="Calibri Light"/>
          <w:color w:val="000000"/>
          <w:sz w:val="21"/>
        </w:rPr>
        <w:t xml:space="preserve"> sectional title basis and reallocate the proceeds to other strategic investments.</w:t>
      </w:r>
    </w:p>
    <w:p w14:paraId="287DAF2B" w14:textId="77777777" w:rsidR="001C246B" w:rsidRPr="001C246B" w:rsidRDefault="001C246B" w:rsidP="00A60E29">
      <w:pPr>
        <w:pStyle w:val="PlainText"/>
        <w:jc w:val="both"/>
        <w:rPr>
          <w:rStyle w:val="normaltextrun"/>
          <w:rFonts w:ascii="Calibri Light" w:hAnsi="Calibri Light" w:cs="Calibri Light"/>
          <w:color w:val="000000"/>
          <w:sz w:val="21"/>
        </w:rPr>
      </w:pPr>
    </w:p>
    <w:p w14:paraId="0DA9E237" w14:textId="28D69366" w:rsidR="0066378F" w:rsidRPr="0056684A" w:rsidRDefault="00A60E29" w:rsidP="00A60E29">
      <w:pPr>
        <w:pStyle w:val="PlainText"/>
        <w:jc w:val="both"/>
        <w:rPr>
          <w:rFonts w:asciiTheme="majorHAnsi" w:hAnsiTheme="majorHAnsi" w:cstheme="majorHAnsi"/>
        </w:rPr>
      </w:pPr>
      <w:r>
        <w:rPr>
          <w:rFonts w:asciiTheme="majorHAnsi" w:hAnsiTheme="majorHAnsi" w:cstheme="majorHAnsi"/>
          <w:lang w:val="en-US"/>
        </w:rPr>
        <w:t>Emira</w:t>
      </w:r>
      <w:r w:rsidR="00CC479C">
        <w:rPr>
          <w:rFonts w:asciiTheme="majorHAnsi" w:hAnsiTheme="majorHAnsi" w:cstheme="majorHAnsi"/>
          <w:lang w:val="en-US"/>
        </w:rPr>
        <w:t xml:space="preserve"> also</w:t>
      </w:r>
      <w:r w:rsidR="0066378F" w:rsidRPr="0056684A">
        <w:rPr>
          <w:rFonts w:asciiTheme="majorHAnsi" w:hAnsiTheme="majorHAnsi" w:cstheme="majorHAnsi"/>
          <w:lang w:val="en-US"/>
        </w:rPr>
        <w:t xml:space="preserve"> continued to benefit from the buffer it has created against the low-growth domestic environment </w:t>
      </w:r>
      <w:r w:rsidR="008B0290">
        <w:rPr>
          <w:rFonts w:asciiTheme="majorHAnsi" w:hAnsiTheme="majorHAnsi" w:cstheme="majorHAnsi"/>
          <w:lang w:val="en-US"/>
        </w:rPr>
        <w:t xml:space="preserve">in </w:t>
      </w:r>
      <w:r>
        <w:rPr>
          <w:rFonts w:asciiTheme="majorHAnsi" w:hAnsiTheme="majorHAnsi" w:cstheme="majorHAnsi"/>
          <w:lang w:val="en-US"/>
        </w:rPr>
        <w:t>an</w:t>
      </w:r>
      <w:r w:rsidR="0066378F" w:rsidRPr="0056684A">
        <w:rPr>
          <w:rFonts w:asciiTheme="majorHAnsi" w:hAnsiTheme="majorHAnsi" w:cstheme="majorHAnsi"/>
          <w:lang w:val="en-US"/>
        </w:rPr>
        <w:t xml:space="preserve"> asset-by-asset capital allocation approach to co-investment in the US with in-country specialist partner </w:t>
      </w:r>
      <w:r w:rsidR="0066378F" w:rsidRPr="0056684A">
        <w:rPr>
          <w:rFonts w:asciiTheme="majorHAnsi" w:hAnsiTheme="majorHAnsi" w:cstheme="majorHAnsi"/>
          <w:szCs w:val="22"/>
        </w:rPr>
        <w:t>The Rainier Companies</w:t>
      </w:r>
      <w:r w:rsidR="001C246B">
        <w:rPr>
          <w:rFonts w:asciiTheme="majorHAnsi" w:hAnsiTheme="majorHAnsi" w:cstheme="majorHAnsi"/>
          <w:szCs w:val="22"/>
        </w:rPr>
        <w:t>,</w:t>
      </w:r>
      <w:r w:rsidR="001C246B">
        <w:rPr>
          <w:rFonts w:asciiTheme="majorHAnsi" w:hAnsiTheme="majorHAnsi" w:cstheme="majorHAnsi"/>
          <w:lang w:val="en-US"/>
        </w:rPr>
        <w:t xml:space="preserve"> securing a</w:t>
      </w:r>
      <w:r w:rsidR="001C246B" w:rsidRPr="0056684A">
        <w:rPr>
          <w:rFonts w:asciiTheme="majorHAnsi" w:hAnsiTheme="majorHAnsi" w:cstheme="majorHAnsi"/>
          <w:lang w:val="en-US"/>
        </w:rPr>
        <w:t xml:space="preserve"> meaningful 1</w:t>
      </w:r>
      <w:r w:rsidR="00EE454C">
        <w:rPr>
          <w:rFonts w:asciiTheme="majorHAnsi" w:hAnsiTheme="majorHAnsi" w:cstheme="majorHAnsi"/>
          <w:lang w:val="en-US"/>
        </w:rPr>
        <w:t>9</w:t>
      </w:r>
      <w:r w:rsidR="001C246B" w:rsidRPr="0056684A">
        <w:rPr>
          <w:rFonts w:asciiTheme="majorHAnsi" w:hAnsiTheme="majorHAnsi" w:cstheme="majorHAnsi"/>
          <w:lang w:val="en-US"/>
        </w:rPr>
        <w:t>% of its asset base offshore</w:t>
      </w:r>
      <w:r w:rsidR="001C246B">
        <w:rPr>
          <w:rFonts w:asciiTheme="majorHAnsi" w:hAnsiTheme="majorHAnsi" w:cstheme="majorHAnsi"/>
          <w:lang w:val="en-US"/>
        </w:rPr>
        <w:t>.</w:t>
      </w:r>
    </w:p>
    <w:p w14:paraId="49581A4B" w14:textId="77777777" w:rsidR="0066378F" w:rsidRPr="0056684A" w:rsidRDefault="0066378F" w:rsidP="00A60E29">
      <w:pPr>
        <w:spacing w:after="0" w:line="240" w:lineRule="auto"/>
        <w:jc w:val="both"/>
        <w:rPr>
          <w:rFonts w:asciiTheme="majorHAnsi" w:hAnsiTheme="majorHAnsi" w:cstheme="majorHAnsi"/>
          <w:lang w:val="en-US"/>
        </w:rPr>
      </w:pPr>
    </w:p>
    <w:p w14:paraId="53F57F91" w14:textId="03288A22" w:rsidR="0066378F" w:rsidRPr="0056684A" w:rsidRDefault="0066378F" w:rsidP="00A60E29">
      <w:pPr>
        <w:spacing w:after="0" w:line="240" w:lineRule="auto"/>
        <w:jc w:val="both"/>
        <w:rPr>
          <w:rFonts w:asciiTheme="majorHAnsi" w:hAnsiTheme="majorHAnsi" w:cstheme="majorHAnsi"/>
          <w:i/>
          <w:iCs/>
          <w:lang w:val="en-US"/>
        </w:rPr>
      </w:pPr>
      <w:r w:rsidRPr="0056684A">
        <w:rPr>
          <w:rFonts w:asciiTheme="majorHAnsi" w:hAnsiTheme="majorHAnsi" w:cstheme="majorHAnsi"/>
          <w:lang w:val="en-US"/>
        </w:rPr>
        <w:t xml:space="preserve">Geoff Jennett, CEO of Emira Property Fund, notes, </w:t>
      </w:r>
      <w:r w:rsidRPr="0056684A">
        <w:rPr>
          <w:rFonts w:asciiTheme="majorHAnsi" w:hAnsiTheme="majorHAnsi" w:cstheme="majorHAnsi"/>
          <w:i/>
          <w:iCs/>
          <w:lang w:val="en-US"/>
        </w:rPr>
        <w:t>“It is a common misconception that REITs are passive property investors. At Emira we are extremely active in capital allocation; we don’t</w:t>
      </w:r>
      <w:r w:rsidR="007F6A2A">
        <w:rPr>
          <w:rFonts w:asciiTheme="majorHAnsi" w:hAnsiTheme="majorHAnsi" w:cstheme="majorHAnsi"/>
          <w:i/>
          <w:iCs/>
          <w:lang w:val="en-US"/>
        </w:rPr>
        <w:t xml:space="preserve"> simply</w:t>
      </w:r>
      <w:r w:rsidRPr="0056684A">
        <w:rPr>
          <w:rFonts w:asciiTheme="majorHAnsi" w:hAnsiTheme="majorHAnsi" w:cstheme="majorHAnsi"/>
          <w:i/>
          <w:iCs/>
          <w:lang w:val="en-US"/>
        </w:rPr>
        <w:t xml:space="preserve"> buy and hold. We constantly evaluate our assets for their best use and proceed accordingly.”</w:t>
      </w:r>
    </w:p>
    <w:p w14:paraId="0C2BD318" w14:textId="77777777" w:rsidR="0066378F" w:rsidRPr="0056684A" w:rsidRDefault="0066378F" w:rsidP="00A60E29">
      <w:pPr>
        <w:spacing w:after="0" w:line="240" w:lineRule="auto"/>
        <w:jc w:val="both"/>
        <w:rPr>
          <w:rFonts w:asciiTheme="majorHAnsi" w:hAnsiTheme="majorHAnsi" w:cstheme="majorHAnsi"/>
          <w:lang w:val="en-US"/>
        </w:rPr>
      </w:pPr>
    </w:p>
    <w:p w14:paraId="084DE509" w14:textId="45D93160" w:rsidR="0066378F" w:rsidRPr="0056684A" w:rsidRDefault="0066378F" w:rsidP="00A60E29">
      <w:pPr>
        <w:pStyle w:val="PlainText"/>
        <w:jc w:val="both"/>
        <w:rPr>
          <w:rFonts w:asciiTheme="majorHAnsi" w:hAnsiTheme="majorHAnsi" w:cstheme="majorHAnsi"/>
          <w:szCs w:val="22"/>
        </w:rPr>
      </w:pPr>
      <w:r w:rsidRPr="0056684A">
        <w:rPr>
          <w:rFonts w:asciiTheme="majorHAnsi" w:hAnsiTheme="majorHAnsi" w:cstheme="majorHAnsi"/>
          <w:szCs w:val="22"/>
        </w:rPr>
        <w:t xml:space="preserve">When it comes to capital allocation, Emira’s diversified portfolio is balanced with a mix of assets across sectors and geographies. In South Africa, Emira’s 91-property strong portfolio includes commercial - retail, office and industrial - and residential assets valued at R12.1bn. </w:t>
      </w:r>
      <w:r w:rsidR="00A60E29" w:rsidRPr="0056684A">
        <w:rPr>
          <w:rFonts w:asciiTheme="majorHAnsi" w:hAnsiTheme="majorHAnsi" w:cstheme="majorHAnsi"/>
          <w:szCs w:val="22"/>
        </w:rPr>
        <w:t>Emira’s offshore asset base is made up of equity investments in 12 grocery-anchored open-air convenience shopping centres in the better-performing economy of the US</w:t>
      </w:r>
      <w:r w:rsidR="00A60E29">
        <w:rPr>
          <w:rFonts w:asciiTheme="majorHAnsi" w:hAnsiTheme="majorHAnsi" w:cstheme="majorHAnsi"/>
          <w:szCs w:val="22"/>
        </w:rPr>
        <w:t xml:space="preserve"> representing a</w:t>
      </w:r>
      <w:r w:rsidR="00A60E29" w:rsidRPr="00A60E29">
        <w:rPr>
          <w:rFonts w:asciiTheme="majorHAnsi" w:hAnsiTheme="majorHAnsi" w:cstheme="majorHAnsi"/>
        </w:rPr>
        <w:t xml:space="preserve"> </w:t>
      </w:r>
      <w:r w:rsidR="00A60E29" w:rsidRPr="0044559F">
        <w:rPr>
          <w:rFonts w:asciiTheme="majorHAnsi" w:hAnsiTheme="majorHAnsi" w:cstheme="majorHAnsi"/>
        </w:rPr>
        <w:t xml:space="preserve">total </w:t>
      </w:r>
      <w:r w:rsidR="00A60E29">
        <w:rPr>
          <w:rFonts w:asciiTheme="majorHAnsi" w:hAnsiTheme="majorHAnsi" w:cstheme="majorHAnsi"/>
        </w:rPr>
        <w:t xml:space="preserve">equity investment of </w:t>
      </w:r>
      <w:r w:rsidR="00A60E29" w:rsidRPr="00EE454C">
        <w:rPr>
          <w:rFonts w:asciiTheme="majorHAnsi" w:hAnsiTheme="majorHAnsi" w:cstheme="majorHAnsi"/>
        </w:rPr>
        <w:t>R2.</w:t>
      </w:r>
      <w:r w:rsidR="00EE454C" w:rsidRPr="00EE454C">
        <w:rPr>
          <w:rFonts w:asciiTheme="majorHAnsi" w:hAnsiTheme="majorHAnsi" w:cstheme="majorHAnsi"/>
        </w:rPr>
        <w:t>8</w:t>
      </w:r>
      <w:r w:rsidR="00A60E29" w:rsidRPr="00EE454C">
        <w:rPr>
          <w:rFonts w:asciiTheme="majorHAnsi" w:hAnsiTheme="majorHAnsi" w:cstheme="majorHAnsi"/>
        </w:rPr>
        <w:t>bn (</w:t>
      </w:r>
      <w:r w:rsidR="00A60E29" w:rsidRPr="0044559F">
        <w:rPr>
          <w:rFonts w:asciiTheme="majorHAnsi" w:hAnsiTheme="majorHAnsi" w:cstheme="majorHAnsi"/>
        </w:rPr>
        <w:t>USD151.9m)</w:t>
      </w:r>
    </w:p>
    <w:p w14:paraId="2F584F48" w14:textId="77777777" w:rsidR="0066378F" w:rsidRPr="0056684A" w:rsidRDefault="0066378F" w:rsidP="00A60E29">
      <w:pPr>
        <w:pStyle w:val="PlainText"/>
        <w:jc w:val="both"/>
        <w:rPr>
          <w:rFonts w:asciiTheme="majorHAnsi" w:hAnsiTheme="majorHAnsi" w:cstheme="majorHAnsi"/>
          <w:szCs w:val="22"/>
        </w:rPr>
      </w:pPr>
    </w:p>
    <w:p w14:paraId="69E63BCB" w14:textId="77777777" w:rsidR="0066378F" w:rsidRPr="0056684A" w:rsidRDefault="0066378F" w:rsidP="00A60E29">
      <w:pPr>
        <w:pStyle w:val="PlainText"/>
        <w:jc w:val="both"/>
        <w:rPr>
          <w:rFonts w:asciiTheme="majorHAnsi" w:hAnsiTheme="majorHAnsi" w:cstheme="majorHAnsi"/>
        </w:rPr>
      </w:pPr>
      <w:r w:rsidRPr="0056684A">
        <w:rPr>
          <w:rFonts w:asciiTheme="majorHAnsi" w:hAnsiTheme="majorHAnsi" w:cstheme="majorHAnsi"/>
          <w:szCs w:val="22"/>
        </w:rPr>
        <w:t xml:space="preserve">As previously flagged by Emira, </w:t>
      </w:r>
      <w:r w:rsidRPr="0056684A">
        <w:rPr>
          <w:rFonts w:asciiTheme="majorHAnsi" w:hAnsiTheme="majorHAnsi" w:cstheme="majorHAnsi"/>
        </w:rPr>
        <w:t xml:space="preserve">its dividend per share of 61,74c for the six months to 30 September 2023 decreased by 7.1% from the prior first half in line with expectations, and primarily due to higher interest costs on debt, one-off events impacting distributable income from </w:t>
      </w:r>
      <w:r>
        <w:rPr>
          <w:rFonts w:asciiTheme="majorHAnsi" w:hAnsiTheme="majorHAnsi" w:cstheme="majorHAnsi"/>
        </w:rPr>
        <w:t xml:space="preserve">its </w:t>
      </w:r>
      <w:r w:rsidRPr="0056684A">
        <w:rPr>
          <w:rFonts w:asciiTheme="majorHAnsi" w:hAnsiTheme="majorHAnsi" w:cstheme="majorHAnsi"/>
        </w:rPr>
        <w:t>well-performing US investments and the sale of the high-yielding Enyuka. Emira’s total direct portfolio value increased by 0.7% and net asset value increased during the six-month period by 0.4%.</w:t>
      </w:r>
    </w:p>
    <w:p w14:paraId="4090D541" w14:textId="77777777" w:rsidR="0066378F" w:rsidRPr="0056684A" w:rsidRDefault="0066378F" w:rsidP="00A60E29">
      <w:pPr>
        <w:pStyle w:val="PlainText"/>
        <w:jc w:val="both"/>
        <w:rPr>
          <w:rFonts w:asciiTheme="majorHAnsi" w:hAnsiTheme="majorHAnsi" w:cstheme="majorHAnsi"/>
          <w:szCs w:val="22"/>
        </w:rPr>
      </w:pPr>
    </w:p>
    <w:p w14:paraId="0F51F7C8" w14:textId="1EC57379" w:rsidR="0066378F" w:rsidRPr="007A1CBF" w:rsidRDefault="0066378F" w:rsidP="00A60E29">
      <w:pPr>
        <w:pStyle w:val="PlainText"/>
        <w:jc w:val="both"/>
        <w:rPr>
          <w:rFonts w:asciiTheme="majorHAnsi" w:hAnsiTheme="majorHAnsi" w:cstheme="majorHAnsi"/>
          <w:i/>
          <w:iCs/>
          <w:szCs w:val="22"/>
        </w:rPr>
      </w:pPr>
      <w:r w:rsidRPr="0056684A">
        <w:rPr>
          <w:rFonts w:asciiTheme="majorHAnsi" w:hAnsiTheme="majorHAnsi" w:cstheme="majorHAnsi"/>
          <w:szCs w:val="22"/>
        </w:rPr>
        <w:lastRenderedPageBreak/>
        <w:t xml:space="preserve">Jennett notes that Emira achieved </w:t>
      </w:r>
      <w:r w:rsidR="00EE454C">
        <w:rPr>
          <w:rFonts w:asciiTheme="majorHAnsi" w:hAnsiTheme="majorHAnsi" w:cstheme="majorHAnsi"/>
          <w:szCs w:val="22"/>
        </w:rPr>
        <w:t xml:space="preserve">a </w:t>
      </w:r>
      <w:r w:rsidRPr="0056684A">
        <w:rPr>
          <w:rFonts w:asciiTheme="majorHAnsi" w:hAnsiTheme="majorHAnsi" w:cstheme="majorHAnsi"/>
          <w:szCs w:val="22"/>
        </w:rPr>
        <w:t xml:space="preserve">solid operational performance in a very challenging South African economic environment. </w:t>
      </w:r>
      <w:r w:rsidRPr="007A1CBF">
        <w:rPr>
          <w:rFonts w:asciiTheme="majorHAnsi" w:hAnsiTheme="majorHAnsi" w:cstheme="majorHAnsi"/>
          <w:i/>
          <w:iCs/>
          <w:szCs w:val="22"/>
        </w:rPr>
        <w:t xml:space="preserve">“Our portfolio metrics mostly improved across all sectors, reflecting increased stability in the operating environment, giving </w:t>
      </w:r>
      <w:r w:rsidR="00A60E29">
        <w:rPr>
          <w:rFonts w:asciiTheme="majorHAnsi" w:hAnsiTheme="majorHAnsi" w:cstheme="majorHAnsi"/>
          <w:i/>
          <w:iCs/>
          <w:szCs w:val="22"/>
        </w:rPr>
        <w:t xml:space="preserve">us </w:t>
      </w:r>
      <w:r w:rsidRPr="007A1CBF">
        <w:rPr>
          <w:rFonts w:asciiTheme="majorHAnsi" w:hAnsiTheme="majorHAnsi" w:cstheme="majorHAnsi"/>
          <w:i/>
          <w:iCs/>
          <w:szCs w:val="22"/>
        </w:rPr>
        <w:t xml:space="preserve">cause for cautious optimism that the market </w:t>
      </w:r>
      <w:r w:rsidR="00EE454C">
        <w:rPr>
          <w:rFonts w:asciiTheme="majorHAnsi" w:hAnsiTheme="majorHAnsi" w:cstheme="majorHAnsi"/>
          <w:i/>
          <w:iCs/>
          <w:szCs w:val="22"/>
        </w:rPr>
        <w:t xml:space="preserve">is nearer to </w:t>
      </w:r>
      <w:r w:rsidRPr="007A1CBF">
        <w:rPr>
          <w:rFonts w:asciiTheme="majorHAnsi" w:hAnsiTheme="majorHAnsi" w:cstheme="majorHAnsi"/>
          <w:i/>
          <w:iCs/>
          <w:szCs w:val="22"/>
        </w:rPr>
        <w:t>bottom</w:t>
      </w:r>
      <w:r w:rsidR="00EE454C">
        <w:rPr>
          <w:rFonts w:asciiTheme="majorHAnsi" w:hAnsiTheme="majorHAnsi" w:cstheme="majorHAnsi"/>
          <w:i/>
          <w:iCs/>
          <w:szCs w:val="22"/>
        </w:rPr>
        <w:t>ing</w:t>
      </w:r>
      <w:r w:rsidRPr="007A1CBF">
        <w:rPr>
          <w:rFonts w:asciiTheme="majorHAnsi" w:hAnsiTheme="majorHAnsi" w:cstheme="majorHAnsi"/>
          <w:i/>
          <w:iCs/>
          <w:szCs w:val="22"/>
        </w:rPr>
        <w:t xml:space="preserve"> out and </w:t>
      </w:r>
      <w:r w:rsidR="00EE454C">
        <w:rPr>
          <w:rFonts w:asciiTheme="majorHAnsi" w:hAnsiTheme="majorHAnsi" w:cstheme="majorHAnsi"/>
          <w:i/>
          <w:iCs/>
          <w:szCs w:val="22"/>
        </w:rPr>
        <w:t>may be</w:t>
      </w:r>
      <w:r w:rsidRPr="007A1CBF">
        <w:rPr>
          <w:rFonts w:asciiTheme="majorHAnsi" w:hAnsiTheme="majorHAnsi" w:cstheme="majorHAnsi"/>
          <w:i/>
          <w:iCs/>
          <w:szCs w:val="22"/>
        </w:rPr>
        <w:t xml:space="preserve"> poised for upside.”</w:t>
      </w:r>
    </w:p>
    <w:p w14:paraId="569B6CFA" w14:textId="77777777" w:rsidR="0066378F" w:rsidRPr="0056684A" w:rsidRDefault="0066378F" w:rsidP="00A60E29">
      <w:pPr>
        <w:pStyle w:val="PlainText"/>
        <w:jc w:val="both"/>
        <w:rPr>
          <w:rFonts w:asciiTheme="majorHAnsi" w:hAnsiTheme="majorHAnsi" w:cstheme="majorHAnsi"/>
          <w:szCs w:val="22"/>
        </w:rPr>
      </w:pPr>
    </w:p>
    <w:p w14:paraId="23B08AF0" w14:textId="3DFB867D" w:rsidR="0066378F" w:rsidRPr="0056684A" w:rsidRDefault="0066378F" w:rsidP="00A60E29">
      <w:pPr>
        <w:pStyle w:val="PlainText"/>
        <w:jc w:val="both"/>
        <w:rPr>
          <w:rFonts w:asciiTheme="majorHAnsi" w:hAnsiTheme="majorHAnsi" w:cstheme="majorHAnsi"/>
          <w:lang w:val="en-US"/>
        </w:rPr>
      </w:pPr>
      <w:r w:rsidRPr="0056684A">
        <w:rPr>
          <w:rFonts w:asciiTheme="majorHAnsi" w:hAnsiTheme="majorHAnsi" w:cstheme="majorHAnsi"/>
          <w:lang w:val="en-US"/>
        </w:rPr>
        <w:t xml:space="preserve">Among these positive metrics is the improved overall vacancy in its commercial property portfolio from 4.7% to 4.1% over the six months with all sectors outperforming their </w:t>
      </w:r>
      <w:r w:rsidR="00A60E29">
        <w:rPr>
          <w:rFonts w:asciiTheme="majorHAnsi" w:hAnsiTheme="majorHAnsi" w:cstheme="majorHAnsi"/>
          <w:lang w:val="en-US"/>
        </w:rPr>
        <w:t>SA</w:t>
      </w:r>
      <w:r w:rsidRPr="0056684A">
        <w:rPr>
          <w:rFonts w:asciiTheme="majorHAnsi" w:hAnsiTheme="majorHAnsi" w:cstheme="majorHAnsi"/>
          <w:lang w:val="en-US"/>
        </w:rPr>
        <w:t xml:space="preserve"> benchmarks. In addition, like-for-like net property income grew 1.4%. </w:t>
      </w:r>
    </w:p>
    <w:p w14:paraId="46CEE40A" w14:textId="77777777" w:rsidR="0066378F" w:rsidRPr="0056684A" w:rsidRDefault="0066378F" w:rsidP="00A60E29">
      <w:pPr>
        <w:pStyle w:val="PlainText"/>
        <w:jc w:val="both"/>
        <w:rPr>
          <w:rFonts w:asciiTheme="majorHAnsi" w:hAnsiTheme="majorHAnsi" w:cstheme="majorHAnsi"/>
          <w:lang w:val="en-US"/>
        </w:rPr>
      </w:pPr>
    </w:p>
    <w:p w14:paraId="0A0F3F15" w14:textId="661463BB" w:rsidR="0066378F" w:rsidRPr="00CC7884" w:rsidRDefault="0066378F" w:rsidP="00A60E29">
      <w:pPr>
        <w:pStyle w:val="PlainText"/>
        <w:jc w:val="both"/>
        <w:rPr>
          <w:rFonts w:asciiTheme="majorHAnsi" w:hAnsiTheme="majorHAnsi" w:cstheme="majorHAnsi"/>
          <w:szCs w:val="22"/>
        </w:rPr>
      </w:pPr>
      <w:r w:rsidRPr="00CC7884">
        <w:rPr>
          <w:rFonts w:asciiTheme="majorHAnsi" w:hAnsiTheme="majorHAnsi" w:cstheme="majorHAnsi"/>
          <w:szCs w:val="22"/>
        </w:rPr>
        <w:t xml:space="preserve">Emira’s </w:t>
      </w:r>
      <w:r w:rsidR="00352E3C" w:rsidRPr="00CC7884">
        <w:rPr>
          <w:rFonts w:asciiTheme="majorHAnsi" w:hAnsiTheme="majorHAnsi" w:cstheme="majorHAnsi"/>
          <w:szCs w:val="22"/>
        </w:rPr>
        <w:t xml:space="preserve">SA </w:t>
      </w:r>
      <w:r w:rsidRPr="00CC7884">
        <w:rPr>
          <w:rFonts w:asciiTheme="majorHAnsi" w:hAnsiTheme="majorHAnsi" w:cstheme="majorHAnsi"/>
          <w:szCs w:val="22"/>
        </w:rPr>
        <w:t>direct commercial portfolio is split between retail (</w:t>
      </w:r>
      <w:r w:rsidR="00EE454C" w:rsidRPr="00CC7884">
        <w:rPr>
          <w:rFonts w:asciiTheme="majorHAnsi" w:hAnsiTheme="majorHAnsi" w:cstheme="majorHAnsi"/>
          <w:szCs w:val="22"/>
        </w:rPr>
        <w:t>5</w:t>
      </w:r>
      <w:r w:rsidRPr="00CC7884">
        <w:rPr>
          <w:rFonts w:asciiTheme="majorHAnsi" w:hAnsiTheme="majorHAnsi" w:cstheme="majorHAnsi"/>
          <w:szCs w:val="22"/>
        </w:rPr>
        <w:t>1%), office (</w:t>
      </w:r>
      <w:r w:rsidR="00EE454C" w:rsidRPr="00CC7884">
        <w:rPr>
          <w:rFonts w:asciiTheme="majorHAnsi" w:hAnsiTheme="majorHAnsi" w:cstheme="majorHAnsi"/>
          <w:szCs w:val="22"/>
        </w:rPr>
        <w:t>30</w:t>
      </w:r>
      <w:r w:rsidRPr="00CC7884">
        <w:rPr>
          <w:rFonts w:asciiTheme="majorHAnsi" w:hAnsiTheme="majorHAnsi" w:cstheme="majorHAnsi"/>
          <w:szCs w:val="22"/>
        </w:rPr>
        <w:t>%) and industrial (1</w:t>
      </w:r>
      <w:r w:rsidR="00EE454C" w:rsidRPr="00CC7884">
        <w:rPr>
          <w:rFonts w:asciiTheme="majorHAnsi" w:hAnsiTheme="majorHAnsi" w:cstheme="majorHAnsi"/>
          <w:szCs w:val="22"/>
        </w:rPr>
        <w:t>9</w:t>
      </w:r>
      <w:r w:rsidRPr="00CC7884">
        <w:rPr>
          <w:rFonts w:asciiTheme="majorHAnsi" w:hAnsiTheme="majorHAnsi" w:cstheme="majorHAnsi"/>
          <w:szCs w:val="22"/>
        </w:rPr>
        <w:t xml:space="preserve">%), and continued to benefit from diversification. </w:t>
      </w:r>
    </w:p>
    <w:p w14:paraId="05F3CE3E" w14:textId="77777777" w:rsidR="0066378F" w:rsidRPr="00CC7884" w:rsidRDefault="0066378F" w:rsidP="00A60E29">
      <w:pPr>
        <w:pStyle w:val="PlainText"/>
        <w:jc w:val="both"/>
        <w:rPr>
          <w:rFonts w:asciiTheme="majorHAnsi" w:hAnsiTheme="majorHAnsi" w:cstheme="majorHAnsi"/>
          <w:szCs w:val="22"/>
        </w:rPr>
      </w:pPr>
    </w:p>
    <w:p w14:paraId="753BCA2E" w14:textId="46F1DBBD" w:rsidR="0066378F" w:rsidRPr="0056684A" w:rsidRDefault="0066378F" w:rsidP="00A60E29">
      <w:pPr>
        <w:pStyle w:val="PlainText"/>
        <w:jc w:val="both"/>
        <w:rPr>
          <w:rFonts w:asciiTheme="majorHAnsi" w:hAnsiTheme="majorHAnsi" w:cstheme="majorHAnsi"/>
          <w:szCs w:val="22"/>
        </w:rPr>
      </w:pPr>
      <w:r w:rsidRPr="00CC7884">
        <w:rPr>
          <w:rFonts w:asciiTheme="majorHAnsi" w:hAnsiTheme="majorHAnsi" w:cstheme="majorHAnsi"/>
          <w:szCs w:val="22"/>
        </w:rPr>
        <w:t xml:space="preserve">The retail portfolio of primarily grocery-anchored neighbourhood centres traded well with trading densities growing </w:t>
      </w:r>
      <w:r w:rsidR="00EE454C" w:rsidRPr="00CC7884">
        <w:rPr>
          <w:rFonts w:asciiTheme="majorHAnsi" w:hAnsiTheme="majorHAnsi" w:cstheme="majorHAnsi"/>
          <w:szCs w:val="22"/>
        </w:rPr>
        <w:t>3.8</w:t>
      </w:r>
      <w:r w:rsidRPr="00CC7884">
        <w:rPr>
          <w:rFonts w:asciiTheme="majorHAnsi" w:hAnsiTheme="majorHAnsi" w:cstheme="majorHAnsi"/>
          <w:szCs w:val="22"/>
        </w:rPr>
        <w:t xml:space="preserve">% </w:t>
      </w:r>
      <w:r w:rsidR="00606DBA" w:rsidRPr="00CC7884">
        <w:rPr>
          <w:rFonts w:asciiTheme="majorHAnsi" w:hAnsiTheme="majorHAnsi" w:cstheme="majorHAnsi"/>
          <w:szCs w:val="22"/>
        </w:rPr>
        <w:t>y</w:t>
      </w:r>
      <w:r w:rsidR="005C1A85" w:rsidRPr="00CC7884">
        <w:rPr>
          <w:rFonts w:asciiTheme="majorHAnsi" w:hAnsiTheme="majorHAnsi" w:cstheme="majorHAnsi"/>
          <w:szCs w:val="22"/>
        </w:rPr>
        <w:t>ear-on-year</w:t>
      </w:r>
      <w:r w:rsidRPr="00CC7884">
        <w:rPr>
          <w:rFonts w:asciiTheme="majorHAnsi" w:hAnsiTheme="majorHAnsi" w:cstheme="majorHAnsi"/>
          <w:szCs w:val="22"/>
        </w:rPr>
        <w:t xml:space="preserve">. The total weighted average rental reversion </w:t>
      </w:r>
      <w:r w:rsidR="00EE454C" w:rsidRPr="00CC7884">
        <w:rPr>
          <w:rFonts w:asciiTheme="majorHAnsi" w:hAnsiTheme="majorHAnsi" w:cstheme="majorHAnsi"/>
          <w:szCs w:val="22"/>
        </w:rPr>
        <w:t xml:space="preserve">improved </w:t>
      </w:r>
      <w:r w:rsidRPr="00CC7884">
        <w:rPr>
          <w:rFonts w:asciiTheme="majorHAnsi" w:hAnsiTheme="majorHAnsi" w:cstheme="majorHAnsi"/>
          <w:szCs w:val="22"/>
        </w:rPr>
        <w:t xml:space="preserve">over the six months from -5.5% to a pleasing </w:t>
      </w:r>
      <w:r w:rsidR="00EE454C" w:rsidRPr="00CC7884">
        <w:rPr>
          <w:rFonts w:asciiTheme="majorHAnsi" w:hAnsiTheme="majorHAnsi" w:cstheme="majorHAnsi"/>
          <w:szCs w:val="22"/>
        </w:rPr>
        <w:t>-</w:t>
      </w:r>
      <w:r w:rsidRPr="00CC7884">
        <w:rPr>
          <w:rFonts w:asciiTheme="majorHAnsi" w:hAnsiTheme="majorHAnsi" w:cstheme="majorHAnsi"/>
          <w:szCs w:val="22"/>
        </w:rPr>
        <w:t>2.6%.</w:t>
      </w:r>
      <w:r w:rsidRPr="0056684A">
        <w:rPr>
          <w:rFonts w:asciiTheme="majorHAnsi" w:hAnsiTheme="majorHAnsi" w:cstheme="majorHAnsi"/>
          <w:szCs w:val="22"/>
        </w:rPr>
        <w:t xml:space="preserve"> </w:t>
      </w:r>
    </w:p>
    <w:p w14:paraId="11C8469E" w14:textId="77777777" w:rsidR="0066378F" w:rsidRPr="0056684A" w:rsidRDefault="0066378F" w:rsidP="00A60E29">
      <w:pPr>
        <w:pStyle w:val="PlainText"/>
        <w:jc w:val="both"/>
        <w:rPr>
          <w:rFonts w:asciiTheme="majorHAnsi" w:hAnsiTheme="majorHAnsi" w:cstheme="majorHAnsi"/>
          <w:szCs w:val="22"/>
        </w:rPr>
      </w:pPr>
    </w:p>
    <w:p w14:paraId="4B49D146" w14:textId="35F81DDC" w:rsidR="0066378F" w:rsidRPr="0056684A" w:rsidRDefault="0066378F" w:rsidP="00A60E29">
      <w:pPr>
        <w:pStyle w:val="PlainText"/>
        <w:jc w:val="both"/>
        <w:rPr>
          <w:rFonts w:asciiTheme="majorHAnsi" w:hAnsiTheme="majorHAnsi" w:cstheme="majorHAnsi"/>
          <w:szCs w:val="22"/>
        </w:rPr>
      </w:pPr>
      <w:r w:rsidRPr="0056684A">
        <w:rPr>
          <w:rFonts w:asciiTheme="majorHAnsi" w:hAnsiTheme="majorHAnsi" w:cstheme="majorHAnsi"/>
          <w:szCs w:val="22"/>
        </w:rPr>
        <w:t xml:space="preserve">Vacancies in Emira’s </w:t>
      </w:r>
      <w:r w:rsidR="00716DAE">
        <w:rPr>
          <w:rFonts w:asciiTheme="majorHAnsi" w:hAnsiTheme="majorHAnsi" w:cstheme="majorHAnsi"/>
          <w:szCs w:val="22"/>
        </w:rPr>
        <w:t xml:space="preserve">office </w:t>
      </w:r>
      <w:r w:rsidRPr="0056684A">
        <w:rPr>
          <w:rFonts w:asciiTheme="majorHAnsi" w:hAnsiTheme="majorHAnsi" w:cstheme="majorHAnsi"/>
          <w:szCs w:val="22"/>
        </w:rPr>
        <w:t>portfolio of mainly P- and A-grade properties again improved, decreasing from 12.5% to 12.0%, showing</w:t>
      </w:r>
      <w:r w:rsidR="00A60E29">
        <w:rPr>
          <w:rFonts w:asciiTheme="majorHAnsi" w:hAnsiTheme="majorHAnsi" w:cstheme="majorHAnsi"/>
          <w:szCs w:val="22"/>
        </w:rPr>
        <w:t xml:space="preserve"> more</w:t>
      </w:r>
      <w:r w:rsidRPr="0056684A">
        <w:rPr>
          <w:rFonts w:asciiTheme="majorHAnsi" w:hAnsiTheme="majorHAnsi" w:cstheme="majorHAnsi"/>
          <w:szCs w:val="22"/>
        </w:rPr>
        <w:t xml:space="preserve"> demand for well-maintained office space in sought-after locations. The total weighted average rental reversion also improved over the six months from -14.8% to -8.8% </w:t>
      </w:r>
      <w:r w:rsidR="00A60E29">
        <w:rPr>
          <w:rFonts w:asciiTheme="majorHAnsi" w:hAnsiTheme="majorHAnsi" w:cstheme="majorHAnsi"/>
          <w:szCs w:val="22"/>
        </w:rPr>
        <w:t xml:space="preserve">but still </w:t>
      </w:r>
      <w:r w:rsidR="007F6A2A" w:rsidRPr="0056684A">
        <w:rPr>
          <w:rFonts w:asciiTheme="majorHAnsi" w:hAnsiTheme="majorHAnsi" w:cstheme="majorHAnsi"/>
          <w:szCs w:val="22"/>
        </w:rPr>
        <w:t>reflect</w:t>
      </w:r>
      <w:r w:rsidR="007F6A2A">
        <w:rPr>
          <w:rFonts w:asciiTheme="majorHAnsi" w:hAnsiTheme="majorHAnsi" w:cstheme="majorHAnsi"/>
          <w:szCs w:val="22"/>
        </w:rPr>
        <w:t>s</w:t>
      </w:r>
      <w:r w:rsidR="007F6A2A" w:rsidRPr="0056684A">
        <w:rPr>
          <w:rFonts w:asciiTheme="majorHAnsi" w:hAnsiTheme="majorHAnsi" w:cstheme="majorHAnsi"/>
          <w:szCs w:val="22"/>
        </w:rPr>
        <w:t xml:space="preserve"> </w:t>
      </w:r>
      <w:r w:rsidRPr="0056684A">
        <w:rPr>
          <w:rFonts w:asciiTheme="majorHAnsi" w:hAnsiTheme="majorHAnsi" w:cstheme="majorHAnsi"/>
          <w:szCs w:val="22"/>
        </w:rPr>
        <w:t>the ongoing depressed fundamentals in this sector.</w:t>
      </w:r>
    </w:p>
    <w:p w14:paraId="69EE34E8" w14:textId="77777777" w:rsidR="0066378F" w:rsidRPr="0056684A" w:rsidRDefault="0066378F" w:rsidP="00A60E29">
      <w:pPr>
        <w:pStyle w:val="PlainText"/>
        <w:jc w:val="both"/>
        <w:rPr>
          <w:rFonts w:asciiTheme="majorHAnsi" w:hAnsiTheme="majorHAnsi" w:cstheme="majorHAnsi"/>
          <w:szCs w:val="22"/>
        </w:rPr>
      </w:pPr>
    </w:p>
    <w:p w14:paraId="7270973F" w14:textId="483BEC6D" w:rsidR="0066378F" w:rsidRPr="0056684A" w:rsidRDefault="0066378F" w:rsidP="00A60E29">
      <w:pPr>
        <w:pStyle w:val="PlainText"/>
        <w:jc w:val="both"/>
        <w:rPr>
          <w:rFonts w:asciiTheme="majorHAnsi" w:hAnsiTheme="majorHAnsi" w:cstheme="majorHAnsi"/>
          <w:szCs w:val="22"/>
        </w:rPr>
      </w:pPr>
      <w:r w:rsidRPr="0056684A">
        <w:rPr>
          <w:rFonts w:asciiTheme="majorHAnsi" w:hAnsiTheme="majorHAnsi" w:cstheme="majorHAnsi"/>
          <w:szCs w:val="22"/>
        </w:rPr>
        <w:t xml:space="preserve">Emira’s diversified industrial portfolio delivered a strong performance, with vacancies further decreasing from 2.1% to a negligible 0.6% and stable rental reversions, improving slightly from -6.5% to </w:t>
      </w:r>
      <w:r w:rsidR="00EE454C">
        <w:rPr>
          <w:rFonts w:asciiTheme="majorHAnsi" w:hAnsiTheme="majorHAnsi" w:cstheme="majorHAnsi"/>
          <w:szCs w:val="22"/>
        </w:rPr>
        <w:t>-</w:t>
      </w:r>
      <w:r w:rsidRPr="0056684A">
        <w:rPr>
          <w:rFonts w:asciiTheme="majorHAnsi" w:hAnsiTheme="majorHAnsi" w:cstheme="majorHAnsi"/>
          <w:szCs w:val="22"/>
        </w:rPr>
        <w:t>6.0%.</w:t>
      </w:r>
    </w:p>
    <w:p w14:paraId="64674C76" w14:textId="77777777" w:rsidR="0066378F" w:rsidRPr="0056684A" w:rsidRDefault="0066378F" w:rsidP="00A60E29">
      <w:pPr>
        <w:pStyle w:val="PlainText"/>
        <w:jc w:val="both"/>
        <w:rPr>
          <w:rFonts w:asciiTheme="majorHAnsi" w:hAnsiTheme="majorHAnsi" w:cstheme="majorHAnsi"/>
          <w:szCs w:val="22"/>
        </w:rPr>
      </w:pPr>
    </w:p>
    <w:p w14:paraId="69ED3F61" w14:textId="48B288DC" w:rsidR="0066378F" w:rsidRPr="0056684A" w:rsidRDefault="00A60E29" w:rsidP="00A60E29">
      <w:pPr>
        <w:pStyle w:val="PlainText"/>
        <w:jc w:val="both"/>
        <w:rPr>
          <w:rFonts w:asciiTheme="majorHAnsi" w:hAnsiTheme="majorHAnsi" w:cstheme="majorHAnsi"/>
          <w:szCs w:val="22"/>
        </w:rPr>
      </w:pPr>
      <w:r>
        <w:rPr>
          <w:rFonts w:asciiTheme="majorHAnsi" w:hAnsiTheme="majorHAnsi" w:cstheme="majorHAnsi"/>
          <w:lang w:val="en-US"/>
        </w:rPr>
        <w:t>L</w:t>
      </w:r>
      <w:r w:rsidR="0066378F" w:rsidRPr="0056684A">
        <w:rPr>
          <w:rFonts w:asciiTheme="majorHAnsi" w:hAnsiTheme="majorHAnsi" w:cstheme="majorHAnsi"/>
          <w:lang w:val="en-US"/>
        </w:rPr>
        <w:t xml:space="preserve">oad shedding continues to plague South Africa and push up operating costs for businesses, </w:t>
      </w:r>
      <w:r w:rsidR="007037B7">
        <w:rPr>
          <w:rFonts w:asciiTheme="majorHAnsi" w:hAnsiTheme="majorHAnsi" w:cstheme="majorHAnsi"/>
          <w:lang w:val="en-US"/>
        </w:rPr>
        <w:t xml:space="preserve">and </w:t>
      </w:r>
      <w:r w:rsidR="0066378F" w:rsidRPr="0056684A">
        <w:rPr>
          <w:rFonts w:asciiTheme="majorHAnsi" w:hAnsiTheme="majorHAnsi" w:cstheme="majorHAnsi"/>
          <w:lang w:val="en-US"/>
        </w:rPr>
        <w:t>diesel costs for backup power generation in</w:t>
      </w:r>
      <w:r w:rsidR="0066378F" w:rsidRPr="0056684A">
        <w:rPr>
          <w:rFonts w:asciiTheme="majorHAnsi" w:hAnsiTheme="majorHAnsi" w:cstheme="majorHAnsi"/>
          <w:b/>
          <w:bCs/>
          <w:lang w:val="en-US"/>
        </w:rPr>
        <w:t xml:space="preserve"> </w:t>
      </w:r>
      <w:r w:rsidR="0066378F" w:rsidRPr="0056684A">
        <w:rPr>
          <w:rFonts w:asciiTheme="majorHAnsi" w:hAnsiTheme="majorHAnsi" w:cstheme="majorHAnsi"/>
          <w:szCs w:val="22"/>
        </w:rPr>
        <w:t xml:space="preserve">Emira’s commercial property portfolio </w:t>
      </w:r>
      <w:r w:rsidR="00EE454C">
        <w:rPr>
          <w:rFonts w:asciiTheme="majorHAnsi" w:hAnsiTheme="majorHAnsi" w:cstheme="majorHAnsi"/>
          <w:szCs w:val="22"/>
        </w:rPr>
        <w:t xml:space="preserve">was a slightly </w:t>
      </w:r>
      <w:r w:rsidR="006B61DE">
        <w:rPr>
          <w:rFonts w:asciiTheme="majorHAnsi" w:hAnsiTheme="majorHAnsi" w:cstheme="majorHAnsi"/>
          <w:szCs w:val="22"/>
        </w:rPr>
        <w:t>higher</w:t>
      </w:r>
      <w:r w:rsidR="0066378F" w:rsidRPr="0056684A">
        <w:rPr>
          <w:rFonts w:asciiTheme="majorHAnsi" w:hAnsiTheme="majorHAnsi" w:cstheme="majorHAnsi"/>
          <w:szCs w:val="22"/>
        </w:rPr>
        <w:t xml:space="preserve"> R17.7m, of which 87% was recovered from tenants in line with lease agreements.</w:t>
      </w:r>
    </w:p>
    <w:p w14:paraId="4DA55763" w14:textId="77777777" w:rsidR="0066378F" w:rsidRPr="0056684A" w:rsidRDefault="0066378F" w:rsidP="00A60E29">
      <w:pPr>
        <w:pStyle w:val="PlainText"/>
        <w:jc w:val="both"/>
        <w:rPr>
          <w:rFonts w:asciiTheme="majorHAnsi" w:hAnsiTheme="majorHAnsi" w:cstheme="majorHAnsi"/>
          <w:szCs w:val="22"/>
        </w:rPr>
      </w:pPr>
    </w:p>
    <w:p w14:paraId="5B164110" w14:textId="7979A0A0" w:rsidR="0066378F" w:rsidRPr="0056684A" w:rsidRDefault="0066378F" w:rsidP="00A60E29">
      <w:pPr>
        <w:spacing w:after="0" w:line="240" w:lineRule="auto"/>
        <w:jc w:val="both"/>
        <w:rPr>
          <w:rFonts w:asciiTheme="majorHAnsi" w:hAnsiTheme="majorHAnsi" w:cstheme="majorHAnsi"/>
        </w:rPr>
      </w:pPr>
      <w:r w:rsidRPr="0056684A">
        <w:rPr>
          <w:rFonts w:asciiTheme="majorHAnsi" w:hAnsiTheme="majorHAnsi" w:cstheme="majorHAnsi"/>
        </w:rPr>
        <w:t xml:space="preserve">The commercial portfolio benefitted from R68.1m in tactical upgrades, including installing backup power at three properties in response to South Africa’s electricity crisis and various sustainability initiatives </w:t>
      </w:r>
      <w:r w:rsidR="007037B7">
        <w:rPr>
          <w:rFonts w:asciiTheme="majorHAnsi" w:hAnsiTheme="majorHAnsi" w:cstheme="majorHAnsi"/>
        </w:rPr>
        <w:t>such as</w:t>
      </w:r>
      <w:r w:rsidRPr="0056684A">
        <w:rPr>
          <w:rFonts w:asciiTheme="majorHAnsi" w:hAnsiTheme="majorHAnsi" w:cstheme="majorHAnsi"/>
        </w:rPr>
        <w:t xml:space="preserve"> cost-saving energy and water efficiency projects and waste management systems.</w:t>
      </w:r>
    </w:p>
    <w:p w14:paraId="7FCAE351" w14:textId="77777777" w:rsidR="0066378F" w:rsidRPr="0056684A" w:rsidRDefault="0066378F" w:rsidP="00A60E29">
      <w:pPr>
        <w:spacing w:after="0" w:line="240" w:lineRule="auto"/>
        <w:jc w:val="both"/>
        <w:rPr>
          <w:rFonts w:asciiTheme="majorHAnsi" w:hAnsiTheme="majorHAnsi" w:cstheme="majorHAnsi"/>
        </w:rPr>
      </w:pPr>
    </w:p>
    <w:p w14:paraId="257F98D5" w14:textId="77777777" w:rsidR="0066378F" w:rsidRPr="0056684A" w:rsidRDefault="0066378F" w:rsidP="00A60E29">
      <w:pPr>
        <w:spacing w:after="0" w:line="240" w:lineRule="auto"/>
        <w:jc w:val="both"/>
        <w:rPr>
          <w:rFonts w:asciiTheme="majorHAnsi" w:hAnsiTheme="majorHAnsi" w:cstheme="majorHAnsi"/>
        </w:rPr>
      </w:pPr>
      <w:r w:rsidRPr="00EF67C7">
        <w:rPr>
          <w:rFonts w:asciiTheme="majorHAnsi" w:hAnsiTheme="majorHAnsi" w:cstheme="majorHAnsi"/>
          <w:i/>
          <w:iCs/>
        </w:rPr>
        <w:t>“These projects respond to Emira’s environmental commitment, but also to the general deterioration of municipal infrastructure, the inconsistent supply of critical services and the rapid increase in the municipal rates and cost of utilities, which place downward pressure on rental growth and ultimately impacts property values,”</w:t>
      </w:r>
      <w:r w:rsidRPr="0056684A">
        <w:rPr>
          <w:rFonts w:asciiTheme="majorHAnsi" w:hAnsiTheme="majorHAnsi" w:cstheme="majorHAnsi"/>
        </w:rPr>
        <w:t xml:space="preserve"> notes Jennett.</w:t>
      </w:r>
    </w:p>
    <w:p w14:paraId="2B16E757" w14:textId="77777777" w:rsidR="0066378F" w:rsidRPr="0056684A" w:rsidRDefault="0066378F" w:rsidP="00A60E29">
      <w:pPr>
        <w:spacing w:after="0" w:line="240" w:lineRule="auto"/>
        <w:jc w:val="both"/>
        <w:rPr>
          <w:rFonts w:asciiTheme="majorHAnsi" w:hAnsiTheme="majorHAnsi" w:cstheme="majorHAnsi"/>
        </w:rPr>
      </w:pPr>
    </w:p>
    <w:p w14:paraId="28B5C4C8" w14:textId="0BC17918" w:rsidR="0066378F" w:rsidRPr="0056684A" w:rsidRDefault="0066378F" w:rsidP="00A60E29">
      <w:pPr>
        <w:pStyle w:val="PlainText"/>
        <w:jc w:val="both"/>
        <w:rPr>
          <w:rFonts w:asciiTheme="majorHAnsi" w:hAnsiTheme="majorHAnsi" w:cstheme="majorHAnsi"/>
          <w:szCs w:val="22"/>
        </w:rPr>
      </w:pPr>
      <w:r w:rsidRPr="0056684A">
        <w:rPr>
          <w:rFonts w:asciiTheme="majorHAnsi" w:hAnsiTheme="majorHAnsi" w:cstheme="majorHAnsi"/>
          <w:szCs w:val="22"/>
        </w:rPr>
        <w:t xml:space="preserve">The composition of Emira’s portfolio in the defensive residential property sector has changed considerably from the prior comparable period. It now includes </w:t>
      </w:r>
      <w:proofErr w:type="spellStart"/>
      <w:r w:rsidRPr="0056684A">
        <w:rPr>
          <w:rFonts w:asciiTheme="majorHAnsi" w:hAnsiTheme="majorHAnsi" w:cstheme="majorHAnsi"/>
          <w:szCs w:val="22"/>
        </w:rPr>
        <w:t>Transcend’s</w:t>
      </w:r>
      <w:proofErr w:type="spellEnd"/>
      <w:r w:rsidRPr="0056684A">
        <w:rPr>
          <w:rFonts w:asciiTheme="majorHAnsi" w:hAnsiTheme="majorHAnsi" w:cstheme="majorHAnsi"/>
          <w:szCs w:val="22"/>
        </w:rPr>
        <w:t xml:space="preserve"> 20 residential properties plus The Bolton in Rosebank. </w:t>
      </w:r>
      <w:r w:rsidR="00606DBA">
        <w:rPr>
          <w:rFonts w:asciiTheme="majorHAnsi" w:hAnsiTheme="majorHAnsi" w:cstheme="majorHAnsi"/>
          <w:szCs w:val="22"/>
        </w:rPr>
        <w:t>Emira’s residential</w:t>
      </w:r>
      <w:r w:rsidR="00606DBA" w:rsidRPr="0056684A">
        <w:rPr>
          <w:rFonts w:asciiTheme="majorHAnsi" w:hAnsiTheme="majorHAnsi" w:cstheme="majorHAnsi"/>
          <w:szCs w:val="22"/>
        </w:rPr>
        <w:t xml:space="preserve"> </w:t>
      </w:r>
      <w:r w:rsidRPr="0056684A">
        <w:rPr>
          <w:rFonts w:asciiTheme="majorHAnsi" w:hAnsiTheme="majorHAnsi" w:cstheme="majorHAnsi"/>
          <w:szCs w:val="22"/>
        </w:rPr>
        <w:t>portfolio offers 4,0</w:t>
      </w:r>
      <w:r w:rsidR="00741BE7">
        <w:rPr>
          <w:rFonts w:asciiTheme="majorHAnsi" w:hAnsiTheme="majorHAnsi" w:cstheme="majorHAnsi"/>
          <w:szCs w:val="22"/>
        </w:rPr>
        <w:t>63</w:t>
      </w:r>
      <w:r w:rsidRPr="0056684A">
        <w:rPr>
          <w:rFonts w:asciiTheme="majorHAnsi" w:hAnsiTheme="majorHAnsi" w:cstheme="majorHAnsi"/>
          <w:szCs w:val="22"/>
        </w:rPr>
        <w:t xml:space="preserve"> units in Gauteng (87%) and Cape Town</w:t>
      </w:r>
      <w:r w:rsidR="007037B7">
        <w:rPr>
          <w:rFonts w:asciiTheme="majorHAnsi" w:hAnsiTheme="majorHAnsi" w:cstheme="majorHAnsi"/>
          <w:szCs w:val="22"/>
        </w:rPr>
        <w:t>. The</w:t>
      </w:r>
      <w:r w:rsidR="00606DBA">
        <w:rPr>
          <w:rFonts w:asciiTheme="majorHAnsi" w:hAnsiTheme="majorHAnsi" w:cstheme="majorHAnsi"/>
          <w:szCs w:val="22"/>
        </w:rPr>
        <w:t xml:space="preserve"> </w:t>
      </w:r>
      <w:r w:rsidRPr="0056684A">
        <w:rPr>
          <w:rFonts w:asciiTheme="majorHAnsi" w:hAnsiTheme="majorHAnsi" w:cstheme="majorHAnsi"/>
          <w:szCs w:val="22"/>
        </w:rPr>
        <w:t>properties are in high-demand neighbourhoods and cater to the affordable rental market in the R4,500 to R8,000</w:t>
      </w:r>
      <w:r w:rsidR="007037B7">
        <w:rPr>
          <w:rFonts w:asciiTheme="majorHAnsi" w:hAnsiTheme="majorHAnsi" w:cstheme="majorHAnsi"/>
          <w:szCs w:val="22"/>
        </w:rPr>
        <w:t>/pm</w:t>
      </w:r>
      <w:r w:rsidRPr="0056684A">
        <w:rPr>
          <w:rFonts w:asciiTheme="majorHAnsi" w:hAnsiTheme="majorHAnsi" w:cstheme="majorHAnsi"/>
          <w:szCs w:val="22"/>
        </w:rPr>
        <w:t xml:space="preserve"> range. They are attracting growing demand as high interest rates make renting a more favourable option than buying for many South Africans. The portfolio’s 3.</w:t>
      </w:r>
      <w:r w:rsidR="00741BE7">
        <w:rPr>
          <w:rFonts w:asciiTheme="majorHAnsi" w:hAnsiTheme="majorHAnsi" w:cstheme="majorHAnsi"/>
          <w:szCs w:val="22"/>
        </w:rPr>
        <w:t>4</w:t>
      </w:r>
      <w:r w:rsidRPr="0056684A">
        <w:rPr>
          <w:rFonts w:asciiTheme="majorHAnsi" w:hAnsiTheme="majorHAnsi" w:cstheme="majorHAnsi"/>
          <w:szCs w:val="22"/>
        </w:rPr>
        <w:t>% vacancy rate includes units intentionally left untenant</w:t>
      </w:r>
      <w:r w:rsidR="00EE454C">
        <w:rPr>
          <w:rFonts w:asciiTheme="majorHAnsi" w:hAnsiTheme="majorHAnsi" w:cstheme="majorHAnsi"/>
          <w:szCs w:val="22"/>
        </w:rPr>
        <w:t>ed</w:t>
      </w:r>
      <w:r w:rsidRPr="0056684A">
        <w:rPr>
          <w:rFonts w:asciiTheme="majorHAnsi" w:hAnsiTheme="majorHAnsi" w:cstheme="majorHAnsi"/>
          <w:szCs w:val="22"/>
        </w:rPr>
        <w:t xml:space="preserve"> for </w:t>
      </w:r>
      <w:r w:rsidR="0044559F">
        <w:rPr>
          <w:rFonts w:asciiTheme="majorHAnsi" w:hAnsiTheme="majorHAnsi" w:cstheme="majorHAnsi"/>
          <w:szCs w:val="22"/>
        </w:rPr>
        <w:t>a</w:t>
      </w:r>
      <w:r w:rsidRPr="0056684A">
        <w:rPr>
          <w:rFonts w:asciiTheme="majorHAnsi" w:hAnsiTheme="majorHAnsi" w:cstheme="majorHAnsi"/>
          <w:szCs w:val="22"/>
        </w:rPr>
        <w:t xml:space="preserve"> unit-by-unit disposal process. During the period, 15</w:t>
      </w:r>
      <w:r w:rsidR="00E748D4">
        <w:rPr>
          <w:rFonts w:asciiTheme="majorHAnsi" w:hAnsiTheme="majorHAnsi" w:cstheme="majorHAnsi"/>
          <w:szCs w:val="22"/>
        </w:rPr>
        <w:t>7</w:t>
      </w:r>
      <w:r w:rsidRPr="0056684A">
        <w:rPr>
          <w:rFonts w:asciiTheme="majorHAnsi" w:hAnsiTheme="majorHAnsi" w:cstheme="majorHAnsi"/>
          <w:szCs w:val="22"/>
        </w:rPr>
        <w:t xml:space="preserve"> of The Bolton’s 282 </w:t>
      </w:r>
      <w:r>
        <w:rPr>
          <w:rFonts w:asciiTheme="majorHAnsi" w:hAnsiTheme="majorHAnsi" w:cstheme="majorHAnsi"/>
          <w:szCs w:val="22"/>
        </w:rPr>
        <w:t xml:space="preserve">had been </w:t>
      </w:r>
      <w:r w:rsidRPr="0056684A">
        <w:rPr>
          <w:rFonts w:asciiTheme="majorHAnsi" w:hAnsiTheme="majorHAnsi" w:cstheme="majorHAnsi"/>
          <w:szCs w:val="22"/>
        </w:rPr>
        <w:t xml:space="preserve">sold and transferred and </w:t>
      </w:r>
      <w:proofErr w:type="gramStart"/>
      <w:r w:rsidRPr="0056684A">
        <w:rPr>
          <w:rFonts w:asciiTheme="majorHAnsi" w:hAnsiTheme="majorHAnsi" w:cstheme="majorHAnsi"/>
          <w:szCs w:val="22"/>
        </w:rPr>
        <w:t>Transcend</w:t>
      </w:r>
      <w:proofErr w:type="gramEnd"/>
      <w:r w:rsidRPr="0056684A">
        <w:rPr>
          <w:rFonts w:asciiTheme="majorHAnsi" w:hAnsiTheme="majorHAnsi" w:cstheme="majorHAnsi"/>
          <w:szCs w:val="22"/>
        </w:rPr>
        <w:t xml:space="preserve"> disposed of 95 units. </w:t>
      </w:r>
    </w:p>
    <w:p w14:paraId="604AEDC4" w14:textId="77777777" w:rsidR="0066378F" w:rsidRPr="0056684A" w:rsidRDefault="0066378F" w:rsidP="00A60E29">
      <w:pPr>
        <w:pStyle w:val="PlainText"/>
        <w:jc w:val="both"/>
        <w:rPr>
          <w:rFonts w:asciiTheme="majorHAnsi" w:hAnsiTheme="majorHAnsi" w:cstheme="majorHAnsi"/>
          <w:b/>
          <w:bCs/>
        </w:rPr>
      </w:pPr>
    </w:p>
    <w:p w14:paraId="3590727D" w14:textId="44FF9D42" w:rsidR="0066378F" w:rsidRDefault="0066378F" w:rsidP="00A60E29">
      <w:pPr>
        <w:spacing w:after="0" w:line="240" w:lineRule="auto"/>
        <w:jc w:val="both"/>
        <w:rPr>
          <w:rFonts w:asciiTheme="majorHAnsi" w:hAnsiTheme="majorHAnsi" w:cstheme="majorHAnsi"/>
        </w:rPr>
      </w:pPr>
      <w:r w:rsidRPr="0044559F">
        <w:rPr>
          <w:rFonts w:asciiTheme="majorHAnsi" w:hAnsiTheme="majorHAnsi" w:cstheme="majorHAnsi"/>
        </w:rPr>
        <w:t>In the US, Emira’s 12 equity investments</w:t>
      </w:r>
      <w:r w:rsidR="007037B7">
        <w:rPr>
          <w:rFonts w:asciiTheme="majorHAnsi" w:hAnsiTheme="majorHAnsi" w:cstheme="majorHAnsi"/>
        </w:rPr>
        <w:t xml:space="preserve"> are</w:t>
      </w:r>
      <w:r w:rsidRPr="0044559F">
        <w:rPr>
          <w:rFonts w:asciiTheme="majorHAnsi" w:hAnsiTheme="majorHAnsi" w:cstheme="majorHAnsi"/>
        </w:rPr>
        <w:t xml:space="preserve"> grocery-anchored dominant value-oriented power centres.</w:t>
      </w:r>
      <w:r w:rsidRPr="002B0881">
        <w:rPr>
          <w:rFonts w:asciiTheme="majorHAnsi" w:hAnsiTheme="majorHAnsi" w:cstheme="majorHAnsi"/>
        </w:rPr>
        <w:t xml:space="preserve"> Real GDP growth in the US economy accelerated to 4.9% in the third quarter of 2023, from 2,1% in the second quarter. Inflation eased from 4.9% to 3.7% in the six months to the end of the third quarter. Additionally, consistently low unemployment of 3.8% was reported in the robust US job market. These economic fundamentals </w:t>
      </w:r>
      <w:r w:rsidR="007037B7">
        <w:rPr>
          <w:rFonts w:asciiTheme="majorHAnsi" w:hAnsiTheme="majorHAnsi" w:cstheme="majorHAnsi"/>
        </w:rPr>
        <w:t xml:space="preserve">continue to </w:t>
      </w:r>
      <w:r w:rsidRPr="002B0881">
        <w:rPr>
          <w:rFonts w:asciiTheme="majorHAnsi" w:hAnsiTheme="majorHAnsi" w:cstheme="majorHAnsi"/>
        </w:rPr>
        <w:t>support Emira’s investment in US open-air centres with a high-quality tenant base focused on popular value retail and essential goods and services in strong markets with sound property fundamentals.</w:t>
      </w:r>
      <w:r w:rsidRPr="0056684A">
        <w:rPr>
          <w:rFonts w:asciiTheme="majorHAnsi" w:hAnsiTheme="majorHAnsi" w:cstheme="majorHAnsi"/>
        </w:rPr>
        <w:t xml:space="preserve"> </w:t>
      </w:r>
    </w:p>
    <w:p w14:paraId="220E8834" w14:textId="77777777" w:rsidR="0044559F" w:rsidRDefault="0044559F" w:rsidP="00A60E29">
      <w:pPr>
        <w:spacing w:after="0" w:line="240" w:lineRule="auto"/>
        <w:jc w:val="both"/>
        <w:rPr>
          <w:rFonts w:asciiTheme="majorHAnsi" w:hAnsiTheme="majorHAnsi" w:cstheme="majorHAnsi"/>
        </w:rPr>
      </w:pPr>
    </w:p>
    <w:p w14:paraId="05E0BA26" w14:textId="1D5A18EB" w:rsidR="0044559F" w:rsidRPr="002B0881" w:rsidRDefault="0044559F" w:rsidP="00A60E29">
      <w:pPr>
        <w:spacing w:after="0" w:line="240" w:lineRule="auto"/>
        <w:jc w:val="both"/>
        <w:rPr>
          <w:rFonts w:asciiTheme="majorHAnsi" w:hAnsiTheme="majorHAnsi" w:cstheme="majorHAnsi"/>
        </w:rPr>
      </w:pPr>
      <w:r w:rsidRPr="002B0881">
        <w:rPr>
          <w:rFonts w:asciiTheme="majorHAnsi" w:hAnsiTheme="majorHAnsi" w:cstheme="majorHAnsi"/>
        </w:rPr>
        <w:t xml:space="preserve">Good leasing saw positive rental reversions of 6.8% achieved on new leases with a lease expiry profile of 5.6 years. US portfolio vacancies edged up </w:t>
      </w:r>
      <w:r>
        <w:rPr>
          <w:rFonts w:asciiTheme="majorHAnsi" w:hAnsiTheme="majorHAnsi" w:cstheme="majorHAnsi"/>
        </w:rPr>
        <w:t xml:space="preserve">slightly </w:t>
      </w:r>
      <w:r w:rsidRPr="002B0881">
        <w:rPr>
          <w:rFonts w:asciiTheme="majorHAnsi" w:hAnsiTheme="majorHAnsi" w:cstheme="majorHAnsi"/>
        </w:rPr>
        <w:t>from 2.6% to 3.</w:t>
      </w:r>
      <w:r w:rsidR="005B5211">
        <w:rPr>
          <w:rFonts w:asciiTheme="majorHAnsi" w:hAnsiTheme="majorHAnsi" w:cstheme="majorHAnsi"/>
        </w:rPr>
        <w:t>6</w:t>
      </w:r>
      <w:r w:rsidRPr="002B0881">
        <w:rPr>
          <w:rFonts w:asciiTheme="majorHAnsi" w:hAnsiTheme="majorHAnsi" w:cstheme="majorHAnsi"/>
        </w:rPr>
        <w:t>%.</w:t>
      </w:r>
    </w:p>
    <w:p w14:paraId="0184E9AD" w14:textId="77777777" w:rsidR="0066378F" w:rsidRPr="0056684A" w:rsidRDefault="0066378F" w:rsidP="00A60E29">
      <w:pPr>
        <w:spacing w:after="0" w:line="240" w:lineRule="auto"/>
        <w:jc w:val="both"/>
        <w:rPr>
          <w:rFonts w:asciiTheme="majorHAnsi" w:hAnsiTheme="majorHAnsi" w:cstheme="majorHAnsi"/>
        </w:rPr>
      </w:pPr>
    </w:p>
    <w:p w14:paraId="6305312A" w14:textId="2438EDF9" w:rsidR="0066378F" w:rsidRPr="002B0881" w:rsidRDefault="0066378F" w:rsidP="00A60E29">
      <w:pPr>
        <w:spacing w:after="0" w:line="240" w:lineRule="auto"/>
        <w:jc w:val="both"/>
        <w:rPr>
          <w:rFonts w:asciiTheme="majorHAnsi" w:hAnsiTheme="majorHAnsi" w:cstheme="majorHAnsi"/>
        </w:rPr>
      </w:pPr>
      <w:r w:rsidRPr="0056684A">
        <w:rPr>
          <w:rFonts w:asciiTheme="majorHAnsi" w:hAnsiTheme="majorHAnsi" w:cstheme="majorHAnsi"/>
        </w:rPr>
        <w:t>Distributable</w:t>
      </w:r>
      <w:r w:rsidR="00EE454C">
        <w:rPr>
          <w:rFonts w:asciiTheme="majorHAnsi" w:hAnsiTheme="majorHAnsi" w:cstheme="majorHAnsi"/>
        </w:rPr>
        <w:t xml:space="preserve"> dividend</w:t>
      </w:r>
      <w:r w:rsidRPr="0056684A">
        <w:rPr>
          <w:rFonts w:asciiTheme="majorHAnsi" w:hAnsiTheme="majorHAnsi" w:cstheme="majorHAnsi"/>
        </w:rPr>
        <w:t xml:space="preserve"> </w:t>
      </w:r>
      <w:r w:rsidR="00EE454C">
        <w:rPr>
          <w:rFonts w:asciiTheme="majorHAnsi" w:hAnsiTheme="majorHAnsi" w:cstheme="majorHAnsi"/>
        </w:rPr>
        <w:t xml:space="preserve">cash flow </w:t>
      </w:r>
      <w:r w:rsidRPr="0056684A">
        <w:rPr>
          <w:rFonts w:asciiTheme="majorHAnsi" w:hAnsiTheme="majorHAnsi" w:cstheme="majorHAnsi"/>
        </w:rPr>
        <w:t xml:space="preserve">income </w:t>
      </w:r>
      <w:r w:rsidR="00EE454C">
        <w:rPr>
          <w:rFonts w:asciiTheme="majorHAnsi" w:hAnsiTheme="majorHAnsi" w:cstheme="majorHAnsi"/>
        </w:rPr>
        <w:t xml:space="preserve">received </w:t>
      </w:r>
      <w:r w:rsidRPr="0056684A">
        <w:rPr>
          <w:rFonts w:asciiTheme="majorHAnsi" w:hAnsiTheme="majorHAnsi" w:cstheme="majorHAnsi"/>
        </w:rPr>
        <w:t xml:space="preserve">from Emira’s US </w:t>
      </w:r>
      <w:r w:rsidR="007F6A2A">
        <w:rPr>
          <w:rFonts w:asciiTheme="majorHAnsi" w:hAnsiTheme="majorHAnsi" w:cstheme="majorHAnsi"/>
        </w:rPr>
        <w:t xml:space="preserve">equity investments </w:t>
      </w:r>
      <w:r w:rsidRPr="0056684A">
        <w:rPr>
          <w:rFonts w:asciiTheme="majorHAnsi" w:hAnsiTheme="majorHAnsi" w:cstheme="majorHAnsi"/>
        </w:rPr>
        <w:t xml:space="preserve">increased by R12.9m, </w:t>
      </w:r>
      <w:r>
        <w:rPr>
          <w:rFonts w:asciiTheme="majorHAnsi" w:hAnsiTheme="majorHAnsi" w:cstheme="majorHAnsi"/>
        </w:rPr>
        <w:t>with both 32 East and Beldon Park resuming dividend payments. However,</w:t>
      </w:r>
      <w:r w:rsidRPr="0056684A">
        <w:rPr>
          <w:rFonts w:asciiTheme="majorHAnsi" w:hAnsiTheme="majorHAnsi" w:cstheme="majorHAnsi"/>
        </w:rPr>
        <w:t xml:space="preserve"> </w:t>
      </w:r>
      <w:r>
        <w:rPr>
          <w:rFonts w:asciiTheme="majorHAnsi" w:hAnsiTheme="majorHAnsi" w:cstheme="majorHAnsi"/>
        </w:rPr>
        <w:t xml:space="preserve">once-off </w:t>
      </w:r>
      <w:r w:rsidRPr="0056684A">
        <w:rPr>
          <w:rFonts w:asciiTheme="majorHAnsi" w:hAnsiTheme="majorHAnsi" w:cstheme="majorHAnsi"/>
        </w:rPr>
        <w:t>adjustments for tenant failures meant that leasing commissions and tenant installation allowances</w:t>
      </w:r>
      <w:r>
        <w:rPr>
          <w:rFonts w:asciiTheme="majorHAnsi" w:hAnsiTheme="majorHAnsi" w:cstheme="majorHAnsi"/>
        </w:rPr>
        <w:t>,</w:t>
      </w:r>
      <w:r w:rsidRPr="0056684A">
        <w:rPr>
          <w:rFonts w:asciiTheme="majorHAnsi" w:hAnsiTheme="majorHAnsi" w:cstheme="majorHAnsi"/>
        </w:rPr>
        <w:t xml:space="preserve"> usually amortised across a lease period, were written </w:t>
      </w:r>
      <w:r w:rsidRPr="002B0881">
        <w:rPr>
          <w:rFonts w:asciiTheme="majorHAnsi" w:hAnsiTheme="majorHAnsi" w:cstheme="majorHAnsi"/>
        </w:rPr>
        <w:t xml:space="preserve">off during the six months. This impacted </w:t>
      </w:r>
      <w:r w:rsidR="006E4834">
        <w:rPr>
          <w:rFonts w:asciiTheme="majorHAnsi" w:hAnsiTheme="majorHAnsi" w:cstheme="majorHAnsi"/>
        </w:rPr>
        <w:t xml:space="preserve">Emira’s share of </w:t>
      </w:r>
      <w:r w:rsidRPr="002B0881">
        <w:rPr>
          <w:rFonts w:asciiTheme="majorHAnsi" w:hAnsiTheme="majorHAnsi" w:cstheme="majorHAnsi"/>
        </w:rPr>
        <w:t xml:space="preserve">the </w:t>
      </w:r>
      <w:r w:rsidR="006E4834">
        <w:rPr>
          <w:rFonts w:asciiTheme="majorHAnsi" w:hAnsiTheme="majorHAnsi" w:cstheme="majorHAnsi"/>
        </w:rPr>
        <w:t>accounting</w:t>
      </w:r>
      <w:r w:rsidRPr="002B0881">
        <w:rPr>
          <w:rFonts w:asciiTheme="majorHAnsi" w:hAnsiTheme="majorHAnsi" w:cstheme="majorHAnsi"/>
        </w:rPr>
        <w:t xml:space="preserve"> income </w:t>
      </w:r>
      <w:r w:rsidR="007037B7">
        <w:rPr>
          <w:rFonts w:asciiTheme="majorHAnsi" w:hAnsiTheme="majorHAnsi" w:cstheme="majorHAnsi"/>
        </w:rPr>
        <w:t xml:space="preserve">but not </w:t>
      </w:r>
      <w:r w:rsidRPr="002B0881">
        <w:rPr>
          <w:rFonts w:asciiTheme="majorHAnsi" w:hAnsiTheme="majorHAnsi" w:cstheme="majorHAnsi"/>
        </w:rPr>
        <w:t>the portfolio cash flow</w:t>
      </w:r>
      <w:r w:rsidR="006E4834">
        <w:rPr>
          <w:rFonts w:asciiTheme="majorHAnsi" w:hAnsiTheme="majorHAnsi" w:cstheme="majorHAnsi"/>
        </w:rPr>
        <w:t xml:space="preserve"> it receives</w:t>
      </w:r>
      <w:r w:rsidRPr="002B0881">
        <w:rPr>
          <w:rFonts w:asciiTheme="majorHAnsi" w:hAnsiTheme="majorHAnsi" w:cstheme="majorHAnsi"/>
        </w:rPr>
        <w:t>.</w:t>
      </w:r>
    </w:p>
    <w:p w14:paraId="7EB7B81B" w14:textId="77777777" w:rsidR="0066378F" w:rsidRPr="0056684A" w:rsidRDefault="0066378F" w:rsidP="00A60E29">
      <w:pPr>
        <w:spacing w:after="0" w:line="240" w:lineRule="auto"/>
        <w:jc w:val="both"/>
        <w:rPr>
          <w:rFonts w:asciiTheme="majorHAnsi" w:hAnsiTheme="majorHAnsi" w:cstheme="majorHAnsi"/>
          <w:lang w:val="en-US"/>
        </w:rPr>
      </w:pPr>
    </w:p>
    <w:p w14:paraId="691EEB20" w14:textId="355336DD" w:rsidR="0066378F" w:rsidRPr="0056684A" w:rsidRDefault="0066378F" w:rsidP="00A60E29">
      <w:pPr>
        <w:pStyle w:val="PlainText"/>
        <w:jc w:val="both"/>
        <w:rPr>
          <w:rFonts w:asciiTheme="majorHAnsi" w:hAnsiTheme="majorHAnsi" w:cstheme="majorHAnsi"/>
          <w:szCs w:val="22"/>
        </w:rPr>
      </w:pPr>
      <w:r w:rsidRPr="0056684A">
        <w:rPr>
          <w:rFonts w:asciiTheme="majorHAnsi" w:hAnsiTheme="majorHAnsi" w:cstheme="majorHAnsi"/>
          <w:szCs w:val="22"/>
        </w:rPr>
        <w:t>Emira</w:t>
      </w:r>
      <w:r w:rsidR="006B61DE">
        <w:rPr>
          <w:rFonts w:asciiTheme="majorHAnsi" w:hAnsiTheme="majorHAnsi" w:cstheme="majorHAnsi"/>
          <w:szCs w:val="22"/>
        </w:rPr>
        <w:t>’s</w:t>
      </w:r>
      <w:r w:rsidRPr="0056684A">
        <w:rPr>
          <w:rFonts w:asciiTheme="majorHAnsi" w:hAnsiTheme="majorHAnsi" w:cstheme="majorHAnsi"/>
          <w:szCs w:val="22"/>
        </w:rPr>
        <w:t xml:space="preserve"> balance sheet remains robust. </w:t>
      </w:r>
      <w:r w:rsidRPr="0056684A">
        <w:rPr>
          <w:rFonts w:asciiTheme="majorHAnsi" w:hAnsiTheme="majorHAnsi" w:cstheme="majorHAnsi"/>
          <w:lang w:val="en-US"/>
        </w:rPr>
        <w:t>Proceeds from the sale of Enyuka helped to keep debt levels lower in the persistently high interest rate environment, contributing to an</w:t>
      </w:r>
      <w:r w:rsidRPr="0056684A">
        <w:rPr>
          <w:rFonts w:asciiTheme="majorHAnsi" w:hAnsiTheme="majorHAnsi" w:cstheme="majorHAnsi"/>
          <w:szCs w:val="22"/>
        </w:rPr>
        <w:t xml:space="preserve"> improved loan-to-value ratio </w:t>
      </w:r>
      <w:r w:rsidRPr="0056684A">
        <w:rPr>
          <w:rFonts w:asciiTheme="majorHAnsi" w:hAnsiTheme="majorHAnsi" w:cstheme="majorHAnsi"/>
          <w:lang w:val="en-US"/>
        </w:rPr>
        <w:t>from 4</w:t>
      </w:r>
      <w:r w:rsidR="00EE454C">
        <w:rPr>
          <w:rFonts w:asciiTheme="majorHAnsi" w:hAnsiTheme="majorHAnsi" w:cstheme="majorHAnsi"/>
          <w:lang w:val="en-US"/>
        </w:rPr>
        <w:t>4</w:t>
      </w:r>
      <w:r w:rsidRPr="0056684A">
        <w:rPr>
          <w:rFonts w:asciiTheme="majorHAnsi" w:hAnsiTheme="majorHAnsi" w:cstheme="majorHAnsi"/>
          <w:lang w:val="en-US"/>
        </w:rPr>
        <w:t xml:space="preserve">% to 41.2% </w:t>
      </w:r>
      <w:r w:rsidRPr="0056684A">
        <w:rPr>
          <w:rFonts w:asciiTheme="majorHAnsi" w:hAnsiTheme="majorHAnsi" w:cstheme="majorHAnsi"/>
          <w:szCs w:val="22"/>
        </w:rPr>
        <w:t xml:space="preserve">and cash-on-hand of R850m. Emira has diverse funding sources, including all major South African banks, and access to debt capital markets. </w:t>
      </w:r>
      <w:r w:rsidR="006B61DE">
        <w:rPr>
          <w:rFonts w:asciiTheme="majorHAnsi" w:hAnsiTheme="majorHAnsi" w:cstheme="majorHAnsi"/>
          <w:szCs w:val="22"/>
        </w:rPr>
        <w:t>As expected, the higher interest rates have lowered Emira’s interest cover ratio, but t</w:t>
      </w:r>
      <w:r w:rsidRPr="0056684A">
        <w:rPr>
          <w:rFonts w:asciiTheme="majorHAnsi" w:hAnsiTheme="majorHAnsi" w:cstheme="majorHAnsi"/>
          <w:szCs w:val="22"/>
        </w:rPr>
        <w:t>he company's debt metrics remain well within the required limits. Emira has a corporate long-term credit rating of A(ZA) and a corporate short-term rating of A1(ZA), with a stable outlook from GCR.</w:t>
      </w:r>
    </w:p>
    <w:p w14:paraId="622F2CA0" w14:textId="77777777" w:rsidR="0066378F" w:rsidRPr="0056684A" w:rsidRDefault="0066378F" w:rsidP="00A60E29">
      <w:pPr>
        <w:spacing w:after="0" w:line="240" w:lineRule="auto"/>
        <w:jc w:val="both"/>
        <w:rPr>
          <w:rFonts w:asciiTheme="majorHAnsi" w:hAnsiTheme="majorHAnsi" w:cstheme="majorHAnsi"/>
          <w:lang w:val="en-US"/>
        </w:rPr>
      </w:pPr>
    </w:p>
    <w:p w14:paraId="46CFD595" w14:textId="75A5C72B" w:rsidR="0066378F" w:rsidRDefault="0066378F" w:rsidP="00A60E29">
      <w:pPr>
        <w:spacing w:after="0" w:line="240" w:lineRule="auto"/>
        <w:jc w:val="both"/>
        <w:rPr>
          <w:rFonts w:asciiTheme="majorHAnsi" w:hAnsiTheme="majorHAnsi" w:cstheme="majorHAnsi"/>
          <w:lang w:val="en-US"/>
        </w:rPr>
      </w:pPr>
      <w:r w:rsidRPr="00EF67C7">
        <w:rPr>
          <w:rFonts w:asciiTheme="majorHAnsi" w:hAnsiTheme="majorHAnsi" w:cstheme="majorHAnsi"/>
          <w:i/>
          <w:iCs/>
          <w:lang w:val="en-US"/>
        </w:rPr>
        <w:t>“</w:t>
      </w:r>
      <w:r>
        <w:rPr>
          <w:rFonts w:asciiTheme="majorHAnsi" w:hAnsiTheme="majorHAnsi" w:cstheme="majorHAnsi"/>
          <w:i/>
          <w:iCs/>
          <w:lang w:val="en-US"/>
        </w:rPr>
        <w:t>We are particularly pleased to have s</w:t>
      </w:r>
      <w:r w:rsidRPr="00EF67C7">
        <w:rPr>
          <w:rFonts w:asciiTheme="majorHAnsi" w:hAnsiTheme="majorHAnsi" w:cstheme="majorHAnsi"/>
          <w:i/>
          <w:iCs/>
          <w:lang w:val="en-US"/>
        </w:rPr>
        <w:t>atisfied several strategic objectives</w:t>
      </w:r>
      <w:r w:rsidR="007037B7">
        <w:rPr>
          <w:rFonts w:asciiTheme="majorHAnsi" w:hAnsiTheme="majorHAnsi" w:cstheme="majorHAnsi"/>
          <w:i/>
          <w:iCs/>
          <w:lang w:val="en-US"/>
        </w:rPr>
        <w:t>,</w:t>
      </w:r>
      <w:r w:rsidR="0044559F">
        <w:rPr>
          <w:rFonts w:asciiTheme="majorHAnsi" w:hAnsiTheme="majorHAnsi" w:cstheme="majorHAnsi"/>
          <w:i/>
          <w:iCs/>
          <w:lang w:val="en-US"/>
        </w:rPr>
        <w:t xml:space="preserve"> successfully</w:t>
      </w:r>
      <w:r>
        <w:rPr>
          <w:rFonts w:asciiTheme="majorHAnsi" w:hAnsiTheme="majorHAnsi" w:cstheme="majorHAnsi"/>
          <w:i/>
          <w:iCs/>
          <w:lang w:val="en-US"/>
        </w:rPr>
        <w:t xml:space="preserve"> recycling capital</w:t>
      </w:r>
      <w:r w:rsidR="0044559F">
        <w:rPr>
          <w:rFonts w:asciiTheme="majorHAnsi" w:hAnsiTheme="majorHAnsi" w:cstheme="majorHAnsi"/>
          <w:i/>
          <w:iCs/>
          <w:lang w:val="en-US"/>
        </w:rPr>
        <w:t>. O</w:t>
      </w:r>
      <w:r>
        <w:rPr>
          <w:rFonts w:asciiTheme="majorHAnsi" w:hAnsiTheme="majorHAnsi" w:cstheme="majorHAnsi"/>
          <w:i/>
          <w:iCs/>
          <w:lang w:val="en-US"/>
        </w:rPr>
        <w:t xml:space="preserve">ur decisive operational focus delivered value-enhancing </w:t>
      </w:r>
      <w:r w:rsidR="0044559F">
        <w:rPr>
          <w:rFonts w:asciiTheme="majorHAnsi" w:hAnsiTheme="majorHAnsi" w:cstheme="majorHAnsi"/>
          <w:i/>
          <w:iCs/>
          <w:lang w:val="en-US"/>
        </w:rPr>
        <w:t>progress</w:t>
      </w:r>
      <w:r>
        <w:rPr>
          <w:rFonts w:asciiTheme="majorHAnsi" w:hAnsiTheme="majorHAnsi" w:cstheme="majorHAnsi"/>
          <w:i/>
          <w:iCs/>
          <w:lang w:val="en-US"/>
        </w:rPr>
        <w:t xml:space="preserve">. </w:t>
      </w:r>
      <w:r w:rsidRPr="00EF67C7">
        <w:rPr>
          <w:rFonts w:asciiTheme="majorHAnsi" w:hAnsiTheme="majorHAnsi" w:cstheme="majorHAnsi"/>
          <w:i/>
          <w:iCs/>
          <w:lang w:val="en-US"/>
        </w:rPr>
        <w:t xml:space="preserve">The positive signs </w:t>
      </w:r>
      <w:r>
        <w:rPr>
          <w:rFonts w:asciiTheme="majorHAnsi" w:hAnsiTheme="majorHAnsi" w:cstheme="majorHAnsi"/>
          <w:i/>
          <w:iCs/>
          <w:lang w:val="en-US"/>
        </w:rPr>
        <w:t xml:space="preserve">emerging </w:t>
      </w:r>
      <w:r w:rsidRPr="00EF67C7">
        <w:rPr>
          <w:rFonts w:asciiTheme="majorHAnsi" w:hAnsiTheme="majorHAnsi" w:cstheme="majorHAnsi"/>
          <w:i/>
          <w:iCs/>
          <w:lang w:val="en-US"/>
        </w:rPr>
        <w:t xml:space="preserve">in our operating </w:t>
      </w:r>
      <w:r>
        <w:rPr>
          <w:rFonts w:asciiTheme="majorHAnsi" w:hAnsiTheme="majorHAnsi" w:cstheme="majorHAnsi"/>
          <w:i/>
          <w:iCs/>
          <w:lang w:val="en-US"/>
        </w:rPr>
        <w:t xml:space="preserve">environment </w:t>
      </w:r>
      <w:r w:rsidRPr="00EF67C7">
        <w:rPr>
          <w:rFonts w:asciiTheme="majorHAnsi" w:hAnsiTheme="majorHAnsi" w:cstheme="majorHAnsi"/>
          <w:i/>
          <w:iCs/>
          <w:lang w:val="en-US"/>
        </w:rPr>
        <w:t>are encouraging</w:t>
      </w:r>
      <w:r>
        <w:rPr>
          <w:rFonts w:asciiTheme="majorHAnsi" w:hAnsiTheme="majorHAnsi" w:cstheme="majorHAnsi"/>
          <w:i/>
          <w:iCs/>
          <w:lang w:val="en-US"/>
        </w:rPr>
        <w:t>, and we are well-positioned to take advantage of opportunities and the eventual upward cycle</w:t>
      </w:r>
      <w:r w:rsidRPr="00EF67C7">
        <w:rPr>
          <w:rFonts w:asciiTheme="majorHAnsi" w:hAnsiTheme="majorHAnsi" w:cstheme="majorHAnsi"/>
          <w:i/>
          <w:iCs/>
          <w:lang w:val="en-US"/>
        </w:rPr>
        <w:t>. Given global and local volatility, though, we remain cautious and will continue to focus on fundamental excellence in the elements we can control,”</w:t>
      </w:r>
      <w:r w:rsidR="0044559F">
        <w:rPr>
          <w:rFonts w:asciiTheme="majorHAnsi" w:hAnsiTheme="majorHAnsi" w:cstheme="majorHAnsi"/>
          <w:i/>
          <w:iCs/>
          <w:lang w:val="en-US"/>
        </w:rPr>
        <w:t xml:space="preserve"> </w:t>
      </w:r>
      <w:r w:rsidR="0044559F" w:rsidRPr="0044559F">
        <w:rPr>
          <w:rFonts w:asciiTheme="majorHAnsi" w:hAnsiTheme="majorHAnsi" w:cstheme="majorHAnsi"/>
          <w:lang w:val="en-US"/>
        </w:rPr>
        <w:t>concludes Jenne</w:t>
      </w:r>
      <w:r w:rsidR="00EE454C">
        <w:rPr>
          <w:rFonts w:asciiTheme="majorHAnsi" w:hAnsiTheme="majorHAnsi" w:cstheme="majorHAnsi"/>
          <w:lang w:val="en-US"/>
        </w:rPr>
        <w:t>t</w:t>
      </w:r>
      <w:r w:rsidR="0044559F" w:rsidRPr="0044559F">
        <w:rPr>
          <w:rFonts w:asciiTheme="majorHAnsi" w:hAnsiTheme="majorHAnsi" w:cstheme="majorHAnsi"/>
          <w:lang w:val="en-US"/>
        </w:rPr>
        <w:t>t.</w:t>
      </w:r>
    </w:p>
    <w:p w14:paraId="7C04B1B7" w14:textId="77777777" w:rsidR="007F6A2A" w:rsidRPr="00EF67C7" w:rsidRDefault="007F6A2A" w:rsidP="00A60E29">
      <w:pPr>
        <w:spacing w:after="0" w:line="240" w:lineRule="auto"/>
        <w:jc w:val="both"/>
        <w:rPr>
          <w:rFonts w:asciiTheme="majorHAnsi" w:hAnsiTheme="majorHAnsi" w:cstheme="majorHAnsi"/>
          <w:i/>
          <w:iCs/>
          <w:lang w:val="en-US"/>
        </w:rPr>
      </w:pPr>
    </w:p>
    <w:p w14:paraId="3ECE01EB" w14:textId="77777777" w:rsidR="00BB638D" w:rsidRPr="00220389" w:rsidRDefault="00BB638D" w:rsidP="00F40B96">
      <w:pPr>
        <w:spacing w:after="0" w:line="240" w:lineRule="auto"/>
        <w:jc w:val="center"/>
        <w:rPr>
          <w:rFonts w:asciiTheme="majorHAnsi" w:eastAsia="Times New Roman" w:hAnsiTheme="majorHAnsi" w:cstheme="majorHAnsi"/>
          <w:b/>
          <w:bCs/>
          <w:sz w:val="21"/>
          <w:szCs w:val="21"/>
        </w:rPr>
      </w:pPr>
      <w:r w:rsidRPr="00220389">
        <w:rPr>
          <w:rFonts w:asciiTheme="majorHAnsi" w:eastAsia="Times New Roman" w:hAnsiTheme="majorHAnsi" w:cstheme="majorHAnsi"/>
          <w:b/>
          <w:bCs/>
          <w:sz w:val="21"/>
          <w:szCs w:val="21"/>
        </w:rPr>
        <w:t>/</w:t>
      </w:r>
      <w:proofErr w:type="gramStart"/>
      <w:r w:rsidRPr="00220389">
        <w:rPr>
          <w:rFonts w:asciiTheme="majorHAnsi" w:eastAsia="Times New Roman" w:hAnsiTheme="majorHAnsi" w:cstheme="majorHAnsi"/>
          <w:b/>
          <w:bCs/>
          <w:sz w:val="21"/>
          <w:szCs w:val="21"/>
        </w:rPr>
        <w:t>ends</w:t>
      </w:r>
      <w:proofErr w:type="gramEnd"/>
    </w:p>
    <w:bookmarkEnd w:id="0"/>
    <w:p w14:paraId="1C6A41D3" w14:textId="77777777" w:rsidR="00BB638D" w:rsidRDefault="00BB638D" w:rsidP="00F40B96">
      <w:pPr>
        <w:spacing w:after="0" w:line="240" w:lineRule="auto"/>
        <w:rPr>
          <w:rFonts w:asciiTheme="majorHAnsi" w:hAnsiTheme="majorHAnsi" w:cstheme="majorHAnsi"/>
          <w:b/>
          <w:bCs/>
          <w:sz w:val="21"/>
          <w:szCs w:val="21"/>
        </w:rPr>
      </w:pPr>
    </w:p>
    <w:p w14:paraId="11CE31F8" w14:textId="77777777" w:rsidR="0044559F" w:rsidRPr="00C772F9" w:rsidRDefault="0044559F" w:rsidP="00F40B96">
      <w:pPr>
        <w:spacing w:after="0" w:line="240" w:lineRule="auto"/>
        <w:rPr>
          <w:rFonts w:asciiTheme="majorHAnsi" w:hAnsiTheme="majorHAnsi" w:cstheme="majorHAnsi"/>
          <w:b/>
          <w:bCs/>
          <w:sz w:val="21"/>
          <w:szCs w:val="21"/>
        </w:rPr>
      </w:pPr>
    </w:p>
    <w:p w14:paraId="62A3B092" w14:textId="67E261D8" w:rsidR="008B2A05" w:rsidRPr="00C772F9" w:rsidRDefault="004C1A9E" w:rsidP="00F40B96">
      <w:pPr>
        <w:spacing w:after="0" w:line="240" w:lineRule="auto"/>
        <w:rPr>
          <w:rFonts w:asciiTheme="majorHAnsi" w:hAnsiTheme="majorHAnsi" w:cstheme="majorHAnsi"/>
          <w:b/>
          <w:bCs/>
          <w:sz w:val="21"/>
          <w:szCs w:val="21"/>
        </w:rPr>
      </w:pPr>
      <w:r w:rsidRPr="00C772F9">
        <w:rPr>
          <w:rFonts w:asciiTheme="majorHAnsi" w:hAnsiTheme="majorHAnsi" w:cstheme="majorHAnsi"/>
          <w:b/>
          <w:bCs/>
          <w:sz w:val="21"/>
          <w:szCs w:val="21"/>
        </w:rPr>
        <w:t>RELEASED BY CATCHWORDS FOR:</w:t>
      </w:r>
    </w:p>
    <w:p w14:paraId="3643694A" w14:textId="3CB9ADCD" w:rsidR="00B90A89" w:rsidRPr="00C772F9" w:rsidRDefault="00B90A89" w:rsidP="00F40B96">
      <w:pPr>
        <w:spacing w:after="0" w:line="240" w:lineRule="auto"/>
        <w:rPr>
          <w:rFonts w:asciiTheme="majorHAnsi" w:hAnsiTheme="majorHAnsi" w:cstheme="majorHAnsi"/>
          <w:sz w:val="21"/>
          <w:szCs w:val="21"/>
        </w:rPr>
      </w:pPr>
      <w:r w:rsidRPr="00C772F9">
        <w:rPr>
          <w:rFonts w:asciiTheme="majorHAnsi" w:hAnsiTheme="majorHAnsi" w:cstheme="majorHAnsi"/>
          <w:sz w:val="21"/>
          <w:szCs w:val="21"/>
        </w:rPr>
        <w:t>Emira Property Fund</w:t>
      </w:r>
    </w:p>
    <w:p w14:paraId="532B0071" w14:textId="6E32DAF9" w:rsidR="00B90A89" w:rsidRPr="00C772F9" w:rsidRDefault="00B90A89" w:rsidP="00F40B96">
      <w:pPr>
        <w:spacing w:after="0" w:line="240" w:lineRule="auto"/>
        <w:rPr>
          <w:rFonts w:asciiTheme="majorHAnsi" w:hAnsiTheme="majorHAnsi" w:cstheme="majorHAnsi"/>
          <w:sz w:val="21"/>
          <w:szCs w:val="21"/>
        </w:rPr>
      </w:pPr>
      <w:r w:rsidRPr="00C772F9">
        <w:rPr>
          <w:rFonts w:asciiTheme="majorHAnsi" w:hAnsiTheme="majorHAnsi" w:cstheme="majorHAnsi"/>
          <w:sz w:val="21"/>
          <w:szCs w:val="21"/>
        </w:rPr>
        <w:t>Geoff Jennett, CEO</w:t>
      </w:r>
      <w:r w:rsidR="00C33A4F" w:rsidRPr="00C772F9">
        <w:rPr>
          <w:rFonts w:asciiTheme="majorHAnsi" w:hAnsiTheme="majorHAnsi" w:cstheme="majorHAnsi"/>
          <w:sz w:val="21"/>
          <w:szCs w:val="21"/>
        </w:rPr>
        <w:t>, Emira Property Fund</w:t>
      </w:r>
    </w:p>
    <w:p w14:paraId="33BCD09C" w14:textId="77777777" w:rsidR="00B90A89" w:rsidRPr="00C772F9" w:rsidRDefault="00B90A89" w:rsidP="00F40B96">
      <w:pPr>
        <w:spacing w:after="0" w:line="240" w:lineRule="auto"/>
        <w:rPr>
          <w:rFonts w:asciiTheme="majorHAnsi" w:hAnsiTheme="majorHAnsi" w:cstheme="majorHAnsi"/>
          <w:sz w:val="21"/>
          <w:szCs w:val="21"/>
        </w:rPr>
      </w:pPr>
      <w:r w:rsidRPr="00C772F9">
        <w:rPr>
          <w:rFonts w:asciiTheme="majorHAnsi" w:hAnsiTheme="majorHAnsi" w:cstheme="majorHAnsi"/>
          <w:sz w:val="21"/>
          <w:szCs w:val="21"/>
        </w:rPr>
        <w:t>Tel: 011 028 3115</w:t>
      </w:r>
    </w:p>
    <w:p w14:paraId="6D9BB72D" w14:textId="77777777" w:rsidR="00B90A89" w:rsidRPr="00C772F9" w:rsidRDefault="00B90A89" w:rsidP="00F40B96">
      <w:pPr>
        <w:spacing w:after="0" w:line="240" w:lineRule="auto"/>
        <w:rPr>
          <w:rFonts w:asciiTheme="majorHAnsi" w:hAnsiTheme="majorHAnsi" w:cstheme="majorHAnsi"/>
          <w:sz w:val="21"/>
          <w:szCs w:val="21"/>
        </w:rPr>
      </w:pPr>
      <w:r w:rsidRPr="00C772F9">
        <w:rPr>
          <w:rFonts w:asciiTheme="majorHAnsi" w:hAnsiTheme="majorHAnsi" w:cstheme="majorHAnsi"/>
          <w:sz w:val="21"/>
          <w:szCs w:val="21"/>
        </w:rPr>
        <w:t>Emira.co.za</w:t>
      </w:r>
    </w:p>
    <w:p w14:paraId="09CF36A2" w14:textId="77777777" w:rsidR="00B90A89" w:rsidRPr="00C772F9" w:rsidRDefault="00B90A89" w:rsidP="00F40B96">
      <w:pPr>
        <w:spacing w:after="0" w:line="240" w:lineRule="auto"/>
        <w:rPr>
          <w:rFonts w:asciiTheme="majorHAnsi" w:hAnsiTheme="majorHAnsi" w:cstheme="majorHAnsi"/>
          <w:sz w:val="21"/>
          <w:szCs w:val="21"/>
        </w:rPr>
      </w:pPr>
    </w:p>
    <w:p w14:paraId="6B7EB3D8" w14:textId="1E1CF55E" w:rsidR="00B90A89" w:rsidRPr="00C772F9" w:rsidRDefault="00B90A89" w:rsidP="00F40B96">
      <w:pPr>
        <w:spacing w:after="0" w:line="240" w:lineRule="auto"/>
        <w:rPr>
          <w:rFonts w:asciiTheme="majorHAnsi" w:hAnsiTheme="majorHAnsi" w:cstheme="majorHAnsi"/>
          <w:color w:val="000000" w:themeColor="text1"/>
          <w:sz w:val="21"/>
          <w:szCs w:val="21"/>
        </w:rPr>
      </w:pPr>
      <w:r w:rsidRPr="00C772F9">
        <w:rPr>
          <w:rFonts w:asciiTheme="majorHAnsi" w:hAnsiTheme="majorHAnsi" w:cstheme="majorHAnsi"/>
          <w:b/>
          <w:bCs/>
          <w:sz w:val="21"/>
          <w:szCs w:val="21"/>
        </w:rPr>
        <w:t>GET SOCIAL:</w:t>
      </w:r>
      <w:r w:rsidR="008B2A05" w:rsidRPr="00C772F9">
        <w:rPr>
          <w:rFonts w:asciiTheme="majorHAnsi" w:hAnsiTheme="majorHAnsi" w:cstheme="majorHAnsi"/>
          <w:b/>
          <w:bCs/>
          <w:sz w:val="21"/>
          <w:szCs w:val="21"/>
        </w:rPr>
        <w:t xml:space="preserve"> </w:t>
      </w:r>
      <w:r w:rsidR="00C772F9" w:rsidRPr="00C772F9">
        <w:rPr>
          <w:rFonts w:asciiTheme="majorHAnsi" w:hAnsiTheme="majorHAnsi" w:cstheme="majorHAnsi"/>
          <w:color w:val="212B35"/>
          <w:sz w:val="21"/>
          <w:szCs w:val="21"/>
          <w:shd w:val="clear" w:color="auto" w:fill="FFFFFF"/>
        </w:rPr>
        <w:t>Follow Emira on Facebook </w:t>
      </w:r>
      <w:hyperlink r:id="rId9"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@EmiraPropertyFund</w:t>
        </w:r>
      </w:hyperlink>
      <w:r w:rsidR="00C772F9" w:rsidRPr="00C772F9">
        <w:rPr>
          <w:rFonts w:asciiTheme="majorHAnsi" w:hAnsiTheme="majorHAnsi" w:cstheme="majorHAnsi"/>
          <w:color w:val="212B35"/>
          <w:sz w:val="21"/>
          <w:szCs w:val="21"/>
          <w:shd w:val="clear" w:color="auto" w:fill="FFFFFF"/>
        </w:rPr>
        <w:t> |LinkedIn </w:t>
      </w:r>
      <w:hyperlink r:id="rId10"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@EmiraPropFund</w:t>
        </w:r>
      </w:hyperlink>
      <w:r w:rsidR="00C772F9" w:rsidRPr="00C772F9">
        <w:rPr>
          <w:rFonts w:asciiTheme="majorHAnsi" w:hAnsiTheme="majorHAnsi" w:cstheme="majorHAnsi"/>
          <w:color w:val="212B35"/>
          <w:sz w:val="21"/>
          <w:szCs w:val="21"/>
          <w:shd w:val="clear" w:color="auto" w:fill="FFFFFF"/>
        </w:rPr>
        <w:t> | Twitter </w:t>
      </w:r>
      <w:hyperlink r:id="rId11"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@EmiraPropfund</w:t>
        </w:r>
      </w:hyperlink>
      <w:r w:rsidR="00C772F9" w:rsidRPr="00C772F9">
        <w:rPr>
          <w:rFonts w:asciiTheme="majorHAnsi" w:hAnsiTheme="majorHAnsi" w:cstheme="majorHAnsi"/>
          <w:color w:val="212B35"/>
          <w:sz w:val="21"/>
          <w:szCs w:val="21"/>
          <w:shd w:val="clear" w:color="auto" w:fill="FFFFFF"/>
        </w:rPr>
        <w:t>, |Instagram </w:t>
      </w:r>
      <w:hyperlink r:id="rId12"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@EmiraPropertyFund</w:t>
        </w:r>
      </w:hyperlink>
      <w:r w:rsidR="00C772F9" w:rsidRPr="00C772F9">
        <w:rPr>
          <w:rFonts w:asciiTheme="majorHAnsi" w:hAnsiTheme="majorHAnsi" w:cstheme="majorHAnsi"/>
          <w:color w:val="212B35"/>
          <w:sz w:val="21"/>
          <w:szCs w:val="21"/>
          <w:shd w:val="clear" w:color="auto" w:fill="FFFFFF"/>
        </w:rPr>
        <w:t> | YouTube at </w:t>
      </w:r>
      <w:hyperlink r:id="rId13" w:history="1">
        <w:r w:rsidR="00C772F9" w:rsidRPr="00C772F9">
          <w:rPr>
            <w:rStyle w:val="Hyperlink"/>
            <w:rFonts w:asciiTheme="majorHAnsi" w:hAnsiTheme="majorHAnsi" w:cstheme="majorHAnsi"/>
            <w:color w:val="000000"/>
            <w:sz w:val="21"/>
            <w:szCs w:val="21"/>
            <w:bdr w:val="none" w:sz="0" w:space="0" w:color="auto" w:frame="1"/>
            <w:shd w:val="clear" w:color="auto" w:fill="FFFFFF"/>
          </w:rPr>
          <w:t>@EmiraPropertyFund</w:t>
        </w:r>
      </w:hyperlink>
    </w:p>
    <w:p w14:paraId="304EF63D" w14:textId="77777777" w:rsidR="00B90A89" w:rsidRPr="00C772F9" w:rsidRDefault="00B90A89" w:rsidP="00F40B96">
      <w:pPr>
        <w:spacing w:after="0" w:line="240" w:lineRule="auto"/>
        <w:rPr>
          <w:rFonts w:asciiTheme="majorHAnsi" w:hAnsiTheme="majorHAnsi" w:cstheme="majorHAnsi"/>
          <w:color w:val="000000" w:themeColor="text1"/>
          <w:sz w:val="21"/>
          <w:szCs w:val="21"/>
        </w:rPr>
      </w:pPr>
    </w:p>
    <w:p w14:paraId="1462513A" w14:textId="5E247DB6" w:rsidR="00B90A89" w:rsidRPr="00C772F9" w:rsidRDefault="004C1A9E" w:rsidP="00F40B96">
      <w:pPr>
        <w:spacing w:after="0" w:line="240" w:lineRule="auto"/>
        <w:rPr>
          <w:rFonts w:asciiTheme="majorHAnsi" w:hAnsiTheme="majorHAnsi" w:cstheme="majorHAnsi"/>
          <w:color w:val="000000" w:themeColor="text1"/>
          <w:sz w:val="21"/>
          <w:szCs w:val="21"/>
        </w:rPr>
      </w:pPr>
      <w:r w:rsidRPr="00C772F9">
        <w:rPr>
          <w:rFonts w:asciiTheme="majorHAnsi" w:hAnsiTheme="majorHAnsi" w:cstheme="majorHAnsi"/>
          <w:b/>
          <w:bCs/>
          <w:sz w:val="21"/>
          <w:szCs w:val="21"/>
        </w:rPr>
        <w:t>FOR MORE INFORMATION OR TO BOOK AN INTERVIEW</w:t>
      </w:r>
      <w:r w:rsidR="00B90A89" w:rsidRPr="00C772F9">
        <w:rPr>
          <w:rFonts w:asciiTheme="majorHAnsi" w:hAnsiTheme="majorHAnsi" w:cstheme="majorHAnsi"/>
          <w:b/>
          <w:bCs/>
          <w:sz w:val="21"/>
          <w:szCs w:val="21"/>
        </w:rPr>
        <w:t>:</w:t>
      </w:r>
      <w:r w:rsidRPr="00C772F9">
        <w:rPr>
          <w:rFonts w:asciiTheme="majorHAnsi" w:hAnsiTheme="majorHAnsi" w:cstheme="majorHAnsi"/>
          <w:b/>
          <w:bCs/>
          <w:sz w:val="21"/>
          <w:szCs w:val="21"/>
        </w:rPr>
        <w:t xml:space="preserve"> </w:t>
      </w:r>
      <w:r w:rsidR="00B90A89" w:rsidRPr="00C772F9">
        <w:rPr>
          <w:rFonts w:asciiTheme="majorHAnsi" w:hAnsiTheme="majorHAnsi" w:cstheme="majorHAnsi"/>
          <w:sz w:val="21"/>
          <w:szCs w:val="21"/>
        </w:rPr>
        <w:t>Kindly contact Bronwen Noble</w:t>
      </w:r>
      <w:r w:rsidR="00B51BB9" w:rsidRPr="00C772F9">
        <w:rPr>
          <w:rFonts w:asciiTheme="majorHAnsi" w:hAnsiTheme="majorHAnsi" w:cstheme="majorHAnsi"/>
          <w:sz w:val="21"/>
          <w:szCs w:val="21"/>
        </w:rPr>
        <w:t xml:space="preserve"> </w:t>
      </w:r>
      <w:r w:rsidR="00BB638D" w:rsidRPr="00C772F9">
        <w:rPr>
          <w:rFonts w:asciiTheme="majorHAnsi" w:hAnsiTheme="majorHAnsi" w:cstheme="majorHAnsi"/>
          <w:sz w:val="21"/>
          <w:szCs w:val="21"/>
        </w:rPr>
        <w:t>at</w:t>
      </w:r>
      <w:r w:rsidR="00BB638D" w:rsidRPr="00C772F9">
        <w:rPr>
          <w:rFonts w:asciiTheme="majorHAnsi" w:hAnsiTheme="majorHAnsi" w:cstheme="majorHAnsi"/>
          <w:color w:val="000000" w:themeColor="text1"/>
          <w:sz w:val="21"/>
          <w:szCs w:val="21"/>
        </w:rPr>
        <w:t xml:space="preserve"> 083 453 6668</w:t>
      </w:r>
      <w:r w:rsidR="00BB638D" w:rsidRPr="00C772F9">
        <w:rPr>
          <w:rFonts w:asciiTheme="majorHAnsi" w:hAnsiTheme="majorHAnsi" w:cstheme="majorHAnsi"/>
          <w:sz w:val="21"/>
          <w:szCs w:val="21"/>
        </w:rPr>
        <w:t xml:space="preserve"> or</w:t>
      </w:r>
      <w:r w:rsidR="00B90A89" w:rsidRPr="00C772F9">
        <w:rPr>
          <w:rFonts w:asciiTheme="majorHAnsi" w:hAnsiTheme="majorHAnsi" w:cstheme="majorHAnsi"/>
          <w:sz w:val="21"/>
          <w:szCs w:val="21"/>
        </w:rPr>
        <w:t xml:space="preserve"> </w:t>
      </w:r>
      <w:hyperlink r:id="rId14" w:history="1">
        <w:r w:rsidR="00B90A89" w:rsidRPr="00C772F9">
          <w:rPr>
            <w:rStyle w:val="Hyperlink"/>
            <w:rFonts w:asciiTheme="majorHAnsi" w:hAnsiTheme="majorHAnsi" w:cstheme="majorHAnsi"/>
            <w:sz w:val="21"/>
            <w:szCs w:val="21"/>
          </w:rPr>
          <w:t>bronwen@catchwords.co.za</w:t>
        </w:r>
      </w:hyperlink>
      <w:r w:rsidR="00BB638D" w:rsidRPr="00C772F9">
        <w:rPr>
          <w:rFonts w:asciiTheme="majorHAnsi" w:hAnsiTheme="majorHAnsi" w:cstheme="majorHAnsi"/>
          <w:color w:val="000000" w:themeColor="text1"/>
          <w:sz w:val="21"/>
          <w:szCs w:val="21"/>
        </w:rPr>
        <w:t>.</w:t>
      </w:r>
    </w:p>
    <w:sectPr w:rsidR="00B90A89" w:rsidRPr="00C772F9" w:rsidSect="00236386">
      <w:headerReference w:type="default" r:id="rId15"/>
      <w:footerReference w:type="default" r:id="rId16"/>
      <w:headerReference w:type="first" r:id="rId17"/>
      <w:footerReference w:type="first" r:id="rId18"/>
      <w:pgSz w:w="11906" w:h="16838"/>
      <w:pgMar w:top="1296" w:right="1296" w:bottom="86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46778" w14:textId="77777777" w:rsidR="00831AE8" w:rsidRDefault="00831AE8" w:rsidP="00D74ADD">
      <w:pPr>
        <w:spacing w:after="0" w:line="240" w:lineRule="auto"/>
      </w:pPr>
      <w:r>
        <w:separator/>
      </w:r>
    </w:p>
  </w:endnote>
  <w:endnote w:type="continuationSeparator" w:id="0">
    <w:p w14:paraId="1F9FCDDD" w14:textId="77777777" w:rsidR="00831AE8" w:rsidRDefault="00831AE8"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746747"/>
      <w:docPartObj>
        <w:docPartGallery w:val="Page Numbers (Bottom of Page)"/>
        <w:docPartUnique/>
      </w:docPartObj>
    </w:sdtPr>
    <w:sdtEndPr>
      <w:rPr>
        <w:noProof/>
      </w:rPr>
    </w:sdtEndPr>
    <w:sdtContent>
      <w:p w14:paraId="501ADDCB" w14:textId="02A7AA30" w:rsidR="00A60E29" w:rsidRDefault="00A60E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FAA863" w14:textId="77777777" w:rsidR="00A60E29" w:rsidRDefault="00A60E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F8764" w14:textId="77777777" w:rsidR="00A60E29" w:rsidRDefault="00A60E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9D3" w14:textId="77777777" w:rsidR="00831AE8" w:rsidRDefault="00831AE8" w:rsidP="00D74ADD">
      <w:pPr>
        <w:spacing w:after="0" w:line="240" w:lineRule="auto"/>
      </w:pPr>
      <w:r>
        <w:separator/>
      </w:r>
    </w:p>
  </w:footnote>
  <w:footnote w:type="continuationSeparator" w:id="0">
    <w:p w14:paraId="6182940F" w14:textId="77777777" w:rsidR="00831AE8" w:rsidRDefault="00831AE8"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B486" w14:textId="4159853A" w:rsidR="00D74ADD" w:rsidRDefault="00D74ADD" w:rsidP="00EB49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C13E" w14:textId="58A68576" w:rsidR="00236386" w:rsidRDefault="00236386" w:rsidP="00236386">
    <w:pPr>
      <w:pStyle w:val="Header"/>
      <w:jc w:val="center"/>
    </w:pPr>
    <w:r>
      <w:rPr>
        <w:noProof/>
        <w:lang w:eastAsia="en-GB"/>
      </w:rPr>
      <w:drawing>
        <wp:inline distT="0" distB="0" distL="0" distR="0" wp14:anchorId="075ADCB5" wp14:editId="43D1C141">
          <wp:extent cx="2171230" cy="1628783"/>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yNDM2s7A0MDS2MDBW0lEKTi0uzszPAykwrgUAQIYTRiwAAAA="/>
  </w:docVars>
  <w:rsids>
    <w:rsidRoot w:val="007B3C3B"/>
    <w:rsid w:val="000000B7"/>
    <w:rsid w:val="0000158E"/>
    <w:rsid w:val="00031996"/>
    <w:rsid w:val="00053D8D"/>
    <w:rsid w:val="00055A96"/>
    <w:rsid w:val="00060229"/>
    <w:rsid w:val="000608BF"/>
    <w:rsid w:val="00076410"/>
    <w:rsid w:val="00084C01"/>
    <w:rsid w:val="00086305"/>
    <w:rsid w:val="00096E50"/>
    <w:rsid w:val="000A2D42"/>
    <w:rsid w:val="000A36BD"/>
    <w:rsid w:val="0010162E"/>
    <w:rsid w:val="00101DCA"/>
    <w:rsid w:val="00107421"/>
    <w:rsid w:val="00113467"/>
    <w:rsid w:val="001550C3"/>
    <w:rsid w:val="0016234A"/>
    <w:rsid w:val="001673B8"/>
    <w:rsid w:val="00167C50"/>
    <w:rsid w:val="0017051C"/>
    <w:rsid w:val="001735E8"/>
    <w:rsid w:val="001829EE"/>
    <w:rsid w:val="001A18D1"/>
    <w:rsid w:val="001A4B01"/>
    <w:rsid w:val="001A59CF"/>
    <w:rsid w:val="001B4BBA"/>
    <w:rsid w:val="001B6A77"/>
    <w:rsid w:val="001C246B"/>
    <w:rsid w:val="001C5B00"/>
    <w:rsid w:val="001F715F"/>
    <w:rsid w:val="00203BA5"/>
    <w:rsid w:val="002042E7"/>
    <w:rsid w:val="00206CBB"/>
    <w:rsid w:val="00220389"/>
    <w:rsid w:val="00225B9F"/>
    <w:rsid w:val="00227474"/>
    <w:rsid w:val="00236386"/>
    <w:rsid w:val="0024478E"/>
    <w:rsid w:val="00260495"/>
    <w:rsid w:val="002607A4"/>
    <w:rsid w:val="002650A5"/>
    <w:rsid w:val="00273A2F"/>
    <w:rsid w:val="00283BBB"/>
    <w:rsid w:val="0029073F"/>
    <w:rsid w:val="002B4DC4"/>
    <w:rsid w:val="002B789D"/>
    <w:rsid w:val="002C1AF3"/>
    <w:rsid w:val="002D4930"/>
    <w:rsid w:val="002D4AAE"/>
    <w:rsid w:val="002F02D9"/>
    <w:rsid w:val="002F1A47"/>
    <w:rsid w:val="00302CED"/>
    <w:rsid w:val="00304E87"/>
    <w:rsid w:val="0031121F"/>
    <w:rsid w:val="00326BCE"/>
    <w:rsid w:val="00334912"/>
    <w:rsid w:val="00340957"/>
    <w:rsid w:val="00341D4E"/>
    <w:rsid w:val="003428D1"/>
    <w:rsid w:val="00343EEC"/>
    <w:rsid w:val="00350883"/>
    <w:rsid w:val="00352E3C"/>
    <w:rsid w:val="00361505"/>
    <w:rsid w:val="003628A4"/>
    <w:rsid w:val="00376959"/>
    <w:rsid w:val="00384B1B"/>
    <w:rsid w:val="003929C3"/>
    <w:rsid w:val="003A38DF"/>
    <w:rsid w:val="003D418D"/>
    <w:rsid w:val="003E55F3"/>
    <w:rsid w:val="003F3691"/>
    <w:rsid w:val="004010B8"/>
    <w:rsid w:val="0040679A"/>
    <w:rsid w:val="004115E2"/>
    <w:rsid w:val="00425274"/>
    <w:rsid w:val="00430F1B"/>
    <w:rsid w:val="00431018"/>
    <w:rsid w:val="00437704"/>
    <w:rsid w:val="00437E43"/>
    <w:rsid w:val="00440D95"/>
    <w:rsid w:val="004431AE"/>
    <w:rsid w:val="00444D74"/>
    <w:rsid w:val="0044559F"/>
    <w:rsid w:val="00453412"/>
    <w:rsid w:val="00455914"/>
    <w:rsid w:val="00456C98"/>
    <w:rsid w:val="0046238E"/>
    <w:rsid w:val="00472A8A"/>
    <w:rsid w:val="00487F35"/>
    <w:rsid w:val="004C1A9E"/>
    <w:rsid w:val="004D718B"/>
    <w:rsid w:val="004D7667"/>
    <w:rsid w:val="0050037D"/>
    <w:rsid w:val="005022EC"/>
    <w:rsid w:val="00503593"/>
    <w:rsid w:val="00503A8C"/>
    <w:rsid w:val="005048EC"/>
    <w:rsid w:val="005113FF"/>
    <w:rsid w:val="00516879"/>
    <w:rsid w:val="00516A54"/>
    <w:rsid w:val="005221C5"/>
    <w:rsid w:val="00524037"/>
    <w:rsid w:val="00537CAB"/>
    <w:rsid w:val="005508CF"/>
    <w:rsid w:val="00557A97"/>
    <w:rsid w:val="00560A8C"/>
    <w:rsid w:val="005B28F7"/>
    <w:rsid w:val="005B5211"/>
    <w:rsid w:val="005C1A85"/>
    <w:rsid w:val="005D71D4"/>
    <w:rsid w:val="005E280B"/>
    <w:rsid w:val="006018DD"/>
    <w:rsid w:val="0060390E"/>
    <w:rsid w:val="00605CEB"/>
    <w:rsid w:val="00606DBA"/>
    <w:rsid w:val="006152E4"/>
    <w:rsid w:val="006156C1"/>
    <w:rsid w:val="00621D50"/>
    <w:rsid w:val="006262EA"/>
    <w:rsid w:val="00627F29"/>
    <w:rsid w:val="00637F44"/>
    <w:rsid w:val="0065112E"/>
    <w:rsid w:val="006624B7"/>
    <w:rsid w:val="0066378F"/>
    <w:rsid w:val="00665150"/>
    <w:rsid w:val="00666B7D"/>
    <w:rsid w:val="006808D2"/>
    <w:rsid w:val="00680956"/>
    <w:rsid w:val="006B2B20"/>
    <w:rsid w:val="006B5D32"/>
    <w:rsid w:val="006B61DE"/>
    <w:rsid w:val="006B7DB4"/>
    <w:rsid w:val="006E4834"/>
    <w:rsid w:val="006F0083"/>
    <w:rsid w:val="006F00D5"/>
    <w:rsid w:val="006F3626"/>
    <w:rsid w:val="006F469A"/>
    <w:rsid w:val="00702D7B"/>
    <w:rsid w:val="007037B7"/>
    <w:rsid w:val="00716DAE"/>
    <w:rsid w:val="00722472"/>
    <w:rsid w:val="007269FD"/>
    <w:rsid w:val="00741BE7"/>
    <w:rsid w:val="00745B6B"/>
    <w:rsid w:val="0075203E"/>
    <w:rsid w:val="0075692A"/>
    <w:rsid w:val="00757757"/>
    <w:rsid w:val="00782A5C"/>
    <w:rsid w:val="00783A0B"/>
    <w:rsid w:val="007842C8"/>
    <w:rsid w:val="00793E08"/>
    <w:rsid w:val="00794BED"/>
    <w:rsid w:val="007A0198"/>
    <w:rsid w:val="007A1CBF"/>
    <w:rsid w:val="007A7DF6"/>
    <w:rsid w:val="007B1002"/>
    <w:rsid w:val="007B3C3B"/>
    <w:rsid w:val="007C1697"/>
    <w:rsid w:val="007C46A0"/>
    <w:rsid w:val="007D7F2C"/>
    <w:rsid w:val="007E2F66"/>
    <w:rsid w:val="007E3C0F"/>
    <w:rsid w:val="007F6A2A"/>
    <w:rsid w:val="008022DB"/>
    <w:rsid w:val="00810007"/>
    <w:rsid w:val="00831AE8"/>
    <w:rsid w:val="00834C91"/>
    <w:rsid w:val="00841A26"/>
    <w:rsid w:val="00841D02"/>
    <w:rsid w:val="0085099A"/>
    <w:rsid w:val="00851289"/>
    <w:rsid w:val="00862B56"/>
    <w:rsid w:val="00863330"/>
    <w:rsid w:val="00873962"/>
    <w:rsid w:val="00885F40"/>
    <w:rsid w:val="008B0290"/>
    <w:rsid w:val="008B1BFC"/>
    <w:rsid w:val="008B2A05"/>
    <w:rsid w:val="008D11EE"/>
    <w:rsid w:val="008E58C0"/>
    <w:rsid w:val="008F46C3"/>
    <w:rsid w:val="008F6377"/>
    <w:rsid w:val="00905C07"/>
    <w:rsid w:val="009100D5"/>
    <w:rsid w:val="0091533D"/>
    <w:rsid w:val="00915801"/>
    <w:rsid w:val="00921956"/>
    <w:rsid w:val="00925070"/>
    <w:rsid w:val="0093234C"/>
    <w:rsid w:val="0094122B"/>
    <w:rsid w:val="00955CC1"/>
    <w:rsid w:val="009568E9"/>
    <w:rsid w:val="009630E4"/>
    <w:rsid w:val="009701B1"/>
    <w:rsid w:val="00973962"/>
    <w:rsid w:val="00975C7B"/>
    <w:rsid w:val="0098171C"/>
    <w:rsid w:val="00982034"/>
    <w:rsid w:val="00986536"/>
    <w:rsid w:val="009921D2"/>
    <w:rsid w:val="00996997"/>
    <w:rsid w:val="009C0260"/>
    <w:rsid w:val="009C6152"/>
    <w:rsid w:val="009D7E3D"/>
    <w:rsid w:val="009E063F"/>
    <w:rsid w:val="009F408B"/>
    <w:rsid w:val="00A076A9"/>
    <w:rsid w:val="00A25145"/>
    <w:rsid w:val="00A554E9"/>
    <w:rsid w:val="00A5673A"/>
    <w:rsid w:val="00A60E29"/>
    <w:rsid w:val="00A836F5"/>
    <w:rsid w:val="00A85AAF"/>
    <w:rsid w:val="00A86C22"/>
    <w:rsid w:val="00AA1A78"/>
    <w:rsid w:val="00AC5B1A"/>
    <w:rsid w:val="00AD660D"/>
    <w:rsid w:val="00AF76AC"/>
    <w:rsid w:val="00B066C6"/>
    <w:rsid w:val="00B23D2B"/>
    <w:rsid w:val="00B23FD1"/>
    <w:rsid w:val="00B34F04"/>
    <w:rsid w:val="00B51BB9"/>
    <w:rsid w:val="00B60B6B"/>
    <w:rsid w:val="00B654FA"/>
    <w:rsid w:val="00B709E3"/>
    <w:rsid w:val="00B901F4"/>
    <w:rsid w:val="00B9037F"/>
    <w:rsid w:val="00B90A89"/>
    <w:rsid w:val="00B9157C"/>
    <w:rsid w:val="00BB638D"/>
    <w:rsid w:val="00BD44DF"/>
    <w:rsid w:val="00BE5447"/>
    <w:rsid w:val="00BF702D"/>
    <w:rsid w:val="00C12DCC"/>
    <w:rsid w:val="00C135CB"/>
    <w:rsid w:val="00C13CFF"/>
    <w:rsid w:val="00C21D63"/>
    <w:rsid w:val="00C22931"/>
    <w:rsid w:val="00C2672B"/>
    <w:rsid w:val="00C270AE"/>
    <w:rsid w:val="00C33A4F"/>
    <w:rsid w:val="00C6573C"/>
    <w:rsid w:val="00C70EBA"/>
    <w:rsid w:val="00C726E7"/>
    <w:rsid w:val="00C772F9"/>
    <w:rsid w:val="00C84617"/>
    <w:rsid w:val="00C856B2"/>
    <w:rsid w:val="00C86629"/>
    <w:rsid w:val="00C91099"/>
    <w:rsid w:val="00C95D1C"/>
    <w:rsid w:val="00C966BB"/>
    <w:rsid w:val="00CA4C82"/>
    <w:rsid w:val="00CB3AED"/>
    <w:rsid w:val="00CC3ECF"/>
    <w:rsid w:val="00CC479C"/>
    <w:rsid w:val="00CC4D6A"/>
    <w:rsid w:val="00CC7884"/>
    <w:rsid w:val="00CD4A28"/>
    <w:rsid w:val="00CE10FE"/>
    <w:rsid w:val="00CF54A3"/>
    <w:rsid w:val="00CF6441"/>
    <w:rsid w:val="00CF704A"/>
    <w:rsid w:val="00D043B7"/>
    <w:rsid w:val="00D22ECF"/>
    <w:rsid w:val="00D32463"/>
    <w:rsid w:val="00D4181E"/>
    <w:rsid w:val="00D51EBE"/>
    <w:rsid w:val="00D52E11"/>
    <w:rsid w:val="00D55BD5"/>
    <w:rsid w:val="00D56E77"/>
    <w:rsid w:val="00D57D24"/>
    <w:rsid w:val="00D74ADD"/>
    <w:rsid w:val="00D7655E"/>
    <w:rsid w:val="00D81544"/>
    <w:rsid w:val="00D82086"/>
    <w:rsid w:val="00D9210D"/>
    <w:rsid w:val="00D947A2"/>
    <w:rsid w:val="00DA5548"/>
    <w:rsid w:val="00DA6F82"/>
    <w:rsid w:val="00DA7453"/>
    <w:rsid w:val="00DC3038"/>
    <w:rsid w:val="00DE2E2E"/>
    <w:rsid w:val="00DE5E3C"/>
    <w:rsid w:val="00DF07E3"/>
    <w:rsid w:val="00DF1AA4"/>
    <w:rsid w:val="00DF39F5"/>
    <w:rsid w:val="00E03E75"/>
    <w:rsid w:val="00E06F79"/>
    <w:rsid w:val="00E168D9"/>
    <w:rsid w:val="00E2002D"/>
    <w:rsid w:val="00E321E7"/>
    <w:rsid w:val="00E438D9"/>
    <w:rsid w:val="00E645DB"/>
    <w:rsid w:val="00E66CA8"/>
    <w:rsid w:val="00E748D4"/>
    <w:rsid w:val="00E9695C"/>
    <w:rsid w:val="00EB49E2"/>
    <w:rsid w:val="00EC1104"/>
    <w:rsid w:val="00ED094D"/>
    <w:rsid w:val="00EE1D0F"/>
    <w:rsid w:val="00EE454C"/>
    <w:rsid w:val="00EE5F84"/>
    <w:rsid w:val="00F015EF"/>
    <w:rsid w:val="00F06230"/>
    <w:rsid w:val="00F06960"/>
    <w:rsid w:val="00F0749D"/>
    <w:rsid w:val="00F14D79"/>
    <w:rsid w:val="00F215F7"/>
    <w:rsid w:val="00F40B96"/>
    <w:rsid w:val="00F55020"/>
    <w:rsid w:val="00F7003F"/>
    <w:rsid w:val="00F72014"/>
    <w:rsid w:val="00F73DC3"/>
    <w:rsid w:val="00F73F36"/>
    <w:rsid w:val="00F8565B"/>
    <w:rsid w:val="00F90E31"/>
    <w:rsid w:val="00F92068"/>
    <w:rsid w:val="00F951FD"/>
    <w:rsid w:val="00FB0FB6"/>
    <w:rsid w:val="00FE23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DEC0F"/>
  <w15:chartTrackingRefBased/>
  <w15:docId w15:val="{6E4700C7-2AFA-4235-8E78-5537C386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customStyle="1" w:styleId="UnresolvedMention1">
    <w:name w:val="Unresolved Mention1"/>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 w:type="paragraph" w:styleId="NormalWeb">
    <w:name w:val="Normal (Web)"/>
    <w:basedOn w:val="Normal"/>
    <w:uiPriority w:val="99"/>
    <w:unhideWhenUsed/>
    <w:rsid w:val="00915801"/>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915801"/>
    <w:rPr>
      <w:b/>
      <w:bCs/>
    </w:rPr>
  </w:style>
  <w:style w:type="character" w:customStyle="1" w:styleId="normaltextrun">
    <w:name w:val="normaltextrun"/>
    <w:basedOn w:val="DefaultParagraphFont"/>
    <w:rsid w:val="001C2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1308626093">
      <w:bodyDiv w:val="1"/>
      <w:marLeft w:val="0"/>
      <w:marRight w:val="0"/>
      <w:marTop w:val="0"/>
      <w:marBottom w:val="0"/>
      <w:divBdr>
        <w:top w:val="none" w:sz="0" w:space="0" w:color="auto"/>
        <w:left w:val="none" w:sz="0" w:space="0" w:color="auto"/>
        <w:bottom w:val="none" w:sz="0" w:space="0" w:color="auto"/>
        <w:right w:val="none" w:sz="0" w:space="0" w:color="auto"/>
      </w:divBdr>
    </w:div>
    <w:div w:id="1683511811">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channel/UCP6S1SKkosxv6XlnCS2xyUQ"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instagram.com/emirapropertyfun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emirapropfun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linkedin.com/company/emira-property-fun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facebook.com/EmiraPropertyFund/" TargetMode="External"/><Relationship Id="rId14" Type="http://schemas.openxmlformats.org/officeDocument/2006/relationships/hyperlink" Target="mailto: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4" ma:contentTypeDescription="Create a new document." ma:contentTypeScope="" ma:versionID="14058a59a036a2d8d82ffc1fbdf7ac2e">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aefd1a3d5aac2a425c8b6a2ae391f5f1"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4356FE-D912-48A1-815A-6F39BE6EA6E8}">
  <ds:schemaRefs>
    <ds:schemaRef ds:uri="http://schemas.microsoft.com/sharepoint/v3/contenttype/forms"/>
  </ds:schemaRefs>
</ds:datastoreItem>
</file>

<file path=customXml/itemProps2.xml><?xml version="1.0" encoding="utf-8"?>
<ds:datastoreItem xmlns:ds="http://schemas.openxmlformats.org/officeDocument/2006/customXml" ds:itemID="{29C75BBC-2564-46E1-A09D-89429C85D2A1}">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3.xml><?xml version="1.0" encoding="utf-8"?>
<ds:datastoreItem xmlns:ds="http://schemas.openxmlformats.org/officeDocument/2006/customXml" ds:itemID="{36047D7C-5165-437D-842E-05241261AA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1496</Words>
  <Characters>8531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2</cp:revision>
  <cp:lastPrinted>2023-11-15T13:25:00Z</cp:lastPrinted>
  <dcterms:created xsi:type="dcterms:W3CDTF">2023-11-16T07:23:00Z</dcterms:created>
  <dcterms:modified xsi:type="dcterms:W3CDTF">2023-11-16T07:23:00Z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297f1361a0255fab23fdabd327045d29351c4d93c60bf1ca625ab4942bd7d078</vt:lpwstr>
  </property>
  <property fmtid="{D5CDD505-2E9C-101B-9397-08002B2CF9AE}" pid="3" name="ContentTypeId">
    <vt:lpwstr>0x01010003449B0941453C49A8B5E8EFA6538897</vt:lpwstr>
  </property>
</Properties>
</file>