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16894" w14:textId="77777777" w:rsidR="00851DBF" w:rsidRDefault="00851DBF" w:rsidP="00851DBF">
      <w:pPr>
        <w:rPr>
          <w:rFonts w:ascii="Trebuchet MS" w:hAnsi="Trebuchet MS" w:cstheme="minorHAnsi"/>
        </w:rPr>
      </w:pPr>
    </w:p>
    <w:p w14:paraId="20EC0034" w14:textId="3418A57C" w:rsidR="00851DBF" w:rsidRPr="00851DBF" w:rsidRDefault="00851DBF" w:rsidP="00851DBF">
      <w:pPr>
        <w:rPr>
          <w:rFonts w:ascii="Trebuchet MS" w:hAnsi="Trebuchet MS" w:cstheme="minorHAnsi"/>
        </w:rPr>
      </w:pPr>
      <w:r w:rsidRPr="00851DBF">
        <w:rPr>
          <w:rFonts w:ascii="Trebuchet MS" w:hAnsi="Trebuchet MS" w:cstheme="minorHAnsi"/>
        </w:rPr>
        <w:t>29 July 2024</w:t>
      </w:r>
    </w:p>
    <w:p w14:paraId="4A476501" w14:textId="77777777" w:rsidR="00851DBF" w:rsidRPr="00851DBF" w:rsidRDefault="00851DBF" w:rsidP="00851DBF">
      <w:pPr>
        <w:rPr>
          <w:rFonts w:ascii="Trebuchet MS" w:hAnsi="Trebuchet MS" w:cstheme="minorHAnsi"/>
        </w:rPr>
      </w:pPr>
    </w:p>
    <w:p w14:paraId="18D09C44" w14:textId="77777777" w:rsidR="00851DBF" w:rsidRPr="00851DBF" w:rsidRDefault="00851DBF" w:rsidP="00851DBF">
      <w:pPr>
        <w:jc w:val="center"/>
        <w:rPr>
          <w:rFonts w:ascii="Trebuchet MS" w:hAnsi="Trebuchet MS"/>
          <w:b/>
          <w:bCs/>
          <w:sz w:val="32"/>
          <w:szCs w:val="32"/>
        </w:rPr>
      </w:pPr>
      <w:r w:rsidRPr="00851DBF">
        <w:rPr>
          <w:rFonts w:ascii="Trebuchet MS" w:hAnsi="Trebuchet MS"/>
          <w:b/>
          <w:bCs/>
          <w:sz w:val="32"/>
          <w:szCs w:val="32"/>
        </w:rPr>
        <w:t xml:space="preserve">Milestone as Growthpoint boosts </w:t>
      </w:r>
      <w:proofErr w:type="spellStart"/>
      <w:r w:rsidRPr="00851DBF">
        <w:rPr>
          <w:rFonts w:ascii="Trebuchet MS" w:hAnsi="Trebuchet MS"/>
          <w:b/>
          <w:bCs/>
          <w:sz w:val="32"/>
          <w:szCs w:val="32"/>
        </w:rPr>
        <w:t>Clur</w:t>
      </w:r>
      <w:proofErr w:type="spellEnd"/>
      <w:r w:rsidRPr="00851DBF">
        <w:rPr>
          <w:rFonts w:ascii="Trebuchet MS" w:hAnsi="Trebuchet MS"/>
          <w:b/>
          <w:bCs/>
          <w:sz w:val="32"/>
          <w:szCs w:val="32"/>
        </w:rPr>
        <w:t xml:space="preserve"> Index</w:t>
      </w:r>
    </w:p>
    <w:p w14:paraId="3DA3DE20" w14:textId="77777777" w:rsidR="00851DBF" w:rsidRPr="00851DBF" w:rsidRDefault="00851DBF" w:rsidP="00851DBF">
      <w:pPr>
        <w:rPr>
          <w:rFonts w:ascii="Trebuchet MS" w:hAnsi="Trebuchet MS"/>
          <w:b/>
          <w:bCs/>
        </w:rPr>
      </w:pPr>
    </w:p>
    <w:p w14:paraId="16079A39" w14:textId="77777777" w:rsidR="00851DBF" w:rsidRPr="00851DBF" w:rsidRDefault="00851DBF" w:rsidP="00851DBF">
      <w:pPr>
        <w:spacing w:after="160" w:line="256" w:lineRule="auto"/>
        <w:rPr>
          <w:rFonts w:ascii="Trebuchet MS" w:hAnsi="Trebuchet MS"/>
        </w:rPr>
      </w:pPr>
      <w:r w:rsidRPr="00851DBF">
        <w:rPr>
          <w:rFonts w:ascii="Trebuchet MS" w:hAnsi="Trebuchet MS"/>
        </w:rPr>
        <w:t xml:space="preserve">South Africa’s largest primary JSE-listed real estate investment trust (REIT), Growthpoint Properties, has added its substantial portfolio of retail properties to the </w:t>
      </w:r>
      <w:proofErr w:type="spellStart"/>
      <w:r w:rsidRPr="00851DBF">
        <w:rPr>
          <w:rFonts w:ascii="Trebuchet MS" w:hAnsi="Trebuchet MS"/>
        </w:rPr>
        <w:t>Clur</w:t>
      </w:r>
      <w:proofErr w:type="spellEnd"/>
      <w:r w:rsidRPr="00851DBF">
        <w:rPr>
          <w:rFonts w:ascii="Trebuchet MS" w:hAnsi="Trebuchet MS"/>
        </w:rPr>
        <w:t xml:space="preserve"> Collective asset management support platform and integral shopping </w:t>
      </w:r>
      <w:proofErr w:type="spellStart"/>
      <w:r w:rsidRPr="00851DBF">
        <w:rPr>
          <w:rFonts w:ascii="Trebuchet MS" w:hAnsi="Trebuchet MS"/>
        </w:rPr>
        <w:t>centre</w:t>
      </w:r>
      <w:proofErr w:type="spellEnd"/>
      <w:r w:rsidRPr="00851DBF">
        <w:rPr>
          <w:rFonts w:ascii="Trebuchet MS" w:hAnsi="Trebuchet MS"/>
        </w:rPr>
        <w:t xml:space="preserve"> index.  By sharing its significant data set, Growthpoint is supporting the retail property sector to create better shopping </w:t>
      </w:r>
      <w:proofErr w:type="spellStart"/>
      <w:r w:rsidRPr="00851DBF">
        <w:rPr>
          <w:rFonts w:ascii="Trebuchet MS" w:hAnsi="Trebuchet MS"/>
        </w:rPr>
        <w:t>centre</w:t>
      </w:r>
      <w:proofErr w:type="spellEnd"/>
      <w:r w:rsidRPr="00851DBF">
        <w:rPr>
          <w:rFonts w:ascii="Trebuchet MS" w:hAnsi="Trebuchet MS"/>
        </w:rPr>
        <w:t xml:space="preserve"> experiences for consumers and retailers alike, while simultaneously enhancing its own innovative and sustainable property solutions.</w:t>
      </w:r>
    </w:p>
    <w:p w14:paraId="3CB4350E" w14:textId="77777777" w:rsidR="00851DBF" w:rsidRPr="00851DBF" w:rsidRDefault="00851DBF" w:rsidP="00851DBF">
      <w:pPr>
        <w:spacing w:after="160" w:line="256" w:lineRule="auto"/>
        <w:rPr>
          <w:rFonts w:ascii="Trebuchet MS" w:hAnsi="Trebuchet MS"/>
        </w:rPr>
      </w:pPr>
      <w:r w:rsidRPr="00851DBF">
        <w:rPr>
          <w:rFonts w:ascii="Trebuchet MS" w:hAnsi="Trebuchet MS"/>
        </w:rPr>
        <w:t xml:space="preserve">“Growthpoint’s inclusion is a milestone for our index and further enhances its standing as a leading independent industry standard and economic indicator,” says Belinda </w:t>
      </w:r>
      <w:proofErr w:type="spellStart"/>
      <w:r w:rsidRPr="00851DBF">
        <w:rPr>
          <w:rFonts w:ascii="Trebuchet MS" w:hAnsi="Trebuchet MS"/>
        </w:rPr>
        <w:t>Clur</w:t>
      </w:r>
      <w:proofErr w:type="spellEnd"/>
      <w:r w:rsidRPr="00851DBF">
        <w:rPr>
          <w:rFonts w:ascii="Trebuchet MS" w:hAnsi="Trebuchet MS"/>
        </w:rPr>
        <w:t xml:space="preserve">, Founder and Managing Director of </w:t>
      </w:r>
      <w:proofErr w:type="spellStart"/>
      <w:r w:rsidRPr="00851DBF">
        <w:rPr>
          <w:rFonts w:ascii="Trebuchet MS" w:hAnsi="Trebuchet MS"/>
        </w:rPr>
        <w:t>Clur</w:t>
      </w:r>
      <w:proofErr w:type="spellEnd"/>
      <w:r w:rsidRPr="00851DBF">
        <w:rPr>
          <w:rFonts w:ascii="Trebuchet MS" w:hAnsi="Trebuchet MS"/>
        </w:rPr>
        <w:t xml:space="preserve"> International. “It serves as a measure of consumer sentiment, rental and economic activity, since what people spend today reflects later in GDP and other key data.” </w:t>
      </w:r>
    </w:p>
    <w:p w14:paraId="68642456" w14:textId="77777777" w:rsidR="00851DBF" w:rsidRPr="00851DBF" w:rsidRDefault="00851DBF" w:rsidP="00851DBF">
      <w:pPr>
        <w:spacing w:after="263" w:line="248" w:lineRule="auto"/>
        <w:ind w:left="7" w:right="9" w:hanging="4"/>
        <w:rPr>
          <w:rFonts w:ascii="Trebuchet MS" w:hAnsi="Trebuchet MS"/>
        </w:rPr>
      </w:pPr>
      <w:r w:rsidRPr="00851DBF">
        <w:rPr>
          <w:rFonts w:ascii="Trebuchet MS" w:hAnsi="Trebuchet MS"/>
        </w:rPr>
        <w:t xml:space="preserve">“Our representation across the retail property landscape is now more than 5.4 million square </w:t>
      </w:r>
      <w:proofErr w:type="spellStart"/>
      <w:r w:rsidRPr="00851DBF">
        <w:rPr>
          <w:rFonts w:ascii="Trebuchet MS" w:hAnsi="Trebuchet MS"/>
        </w:rPr>
        <w:t>metres</w:t>
      </w:r>
      <w:proofErr w:type="spellEnd"/>
      <w:r w:rsidRPr="00851DBF">
        <w:rPr>
          <w:rFonts w:ascii="Trebuchet MS" w:hAnsi="Trebuchet MS"/>
        </w:rPr>
        <w:t xml:space="preserve"> across over 130 shopping </w:t>
      </w:r>
      <w:proofErr w:type="spellStart"/>
      <w:r w:rsidRPr="00851DBF">
        <w:rPr>
          <w:rFonts w:ascii="Trebuchet MS" w:hAnsi="Trebuchet MS"/>
        </w:rPr>
        <w:t>centres</w:t>
      </w:r>
      <w:proofErr w:type="spellEnd"/>
      <w:r w:rsidRPr="00851DBF">
        <w:rPr>
          <w:rFonts w:ascii="Trebuchet MS" w:hAnsi="Trebuchet MS"/>
        </w:rPr>
        <w:t xml:space="preserve"> in South Africa and Namibia.  The increase is from 4.1 million square </w:t>
      </w:r>
      <w:proofErr w:type="spellStart"/>
      <w:r w:rsidRPr="00851DBF">
        <w:rPr>
          <w:rFonts w:ascii="Trebuchet MS" w:hAnsi="Trebuchet MS"/>
        </w:rPr>
        <w:t>metres</w:t>
      </w:r>
      <w:proofErr w:type="spellEnd"/>
      <w:r w:rsidRPr="00851DBF">
        <w:rPr>
          <w:rFonts w:ascii="Trebuchet MS" w:hAnsi="Trebuchet MS"/>
        </w:rPr>
        <w:t xml:space="preserve"> at over 100 </w:t>
      </w:r>
      <w:proofErr w:type="spellStart"/>
      <w:r w:rsidRPr="00851DBF">
        <w:rPr>
          <w:rFonts w:ascii="Trebuchet MS" w:hAnsi="Trebuchet MS"/>
        </w:rPr>
        <w:t>centres</w:t>
      </w:r>
      <w:proofErr w:type="spellEnd"/>
      <w:r w:rsidRPr="00851DBF">
        <w:rPr>
          <w:rFonts w:ascii="Trebuchet MS" w:hAnsi="Trebuchet MS"/>
        </w:rPr>
        <w:t xml:space="preserve">. </w:t>
      </w:r>
    </w:p>
    <w:p w14:paraId="64D2F7AB" w14:textId="77777777" w:rsidR="00851DBF" w:rsidRPr="00851DBF" w:rsidRDefault="00851DBF" w:rsidP="00851DBF">
      <w:pPr>
        <w:spacing w:after="263" w:line="248" w:lineRule="auto"/>
        <w:ind w:left="7" w:right="9" w:hanging="4"/>
        <w:rPr>
          <w:rFonts w:ascii="Trebuchet MS" w:hAnsi="Trebuchet MS"/>
        </w:rPr>
      </w:pPr>
      <w:r w:rsidRPr="00851DBF">
        <w:rPr>
          <w:rFonts w:ascii="Trebuchet MS" w:hAnsi="Trebuchet MS"/>
        </w:rPr>
        <w:t xml:space="preserve">“In addition to Growthpoint, the dominant funds participating in the </w:t>
      </w:r>
      <w:proofErr w:type="spellStart"/>
      <w:r w:rsidRPr="00851DBF">
        <w:rPr>
          <w:rFonts w:ascii="Trebuchet MS" w:hAnsi="Trebuchet MS"/>
        </w:rPr>
        <w:t>Clur</w:t>
      </w:r>
      <w:proofErr w:type="spellEnd"/>
      <w:r w:rsidRPr="00851DBF">
        <w:rPr>
          <w:rFonts w:ascii="Trebuchet MS" w:hAnsi="Trebuchet MS"/>
        </w:rPr>
        <w:t xml:space="preserve"> Collective and </w:t>
      </w:r>
      <w:proofErr w:type="spellStart"/>
      <w:r w:rsidRPr="00851DBF">
        <w:rPr>
          <w:rFonts w:ascii="Trebuchet MS" w:hAnsi="Trebuchet MS"/>
        </w:rPr>
        <w:t>Clur</w:t>
      </w:r>
      <w:proofErr w:type="spellEnd"/>
      <w:r w:rsidRPr="00851DBF">
        <w:rPr>
          <w:rFonts w:ascii="Trebuchet MS" w:hAnsi="Trebuchet MS"/>
        </w:rPr>
        <w:t xml:space="preserve"> Indices include </w:t>
      </w:r>
      <w:proofErr w:type="spellStart"/>
      <w:r w:rsidRPr="00851DBF">
        <w:rPr>
          <w:rFonts w:ascii="Trebuchet MS" w:hAnsi="Trebuchet MS"/>
        </w:rPr>
        <w:t>Attacq</w:t>
      </w:r>
      <w:proofErr w:type="spellEnd"/>
      <w:r w:rsidRPr="00851DBF">
        <w:rPr>
          <w:rFonts w:ascii="Trebuchet MS" w:hAnsi="Trebuchet MS"/>
        </w:rPr>
        <w:t xml:space="preserve"> Limited, Hyprop Investments Limited, Liberty Two Degrees, Old Mutual Property, Pareto Limited, </w:t>
      </w:r>
      <w:proofErr w:type="spellStart"/>
      <w:r w:rsidRPr="00851DBF">
        <w:rPr>
          <w:rFonts w:ascii="Trebuchet MS" w:hAnsi="Trebuchet MS"/>
        </w:rPr>
        <w:t>REimagine</w:t>
      </w:r>
      <w:proofErr w:type="spellEnd"/>
      <w:r w:rsidRPr="00851DBF">
        <w:rPr>
          <w:rFonts w:ascii="Trebuchet MS" w:hAnsi="Trebuchet MS"/>
        </w:rPr>
        <w:t xml:space="preserve"> Social Impact Retail Fund, SA Corporate Real Estate Limited, Sanlam Life Insurance Limited and </w:t>
      </w:r>
      <w:proofErr w:type="spellStart"/>
      <w:r w:rsidRPr="00851DBF">
        <w:rPr>
          <w:rFonts w:ascii="Trebuchet MS" w:hAnsi="Trebuchet MS"/>
        </w:rPr>
        <w:t>Vukile</w:t>
      </w:r>
      <w:proofErr w:type="spellEnd"/>
      <w:r w:rsidRPr="00851DBF">
        <w:rPr>
          <w:rFonts w:ascii="Trebuchet MS" w:hAnsi="Trebuchet MS"/>
        </w:rPr>
        <w:t xml:space="preserve"> Property Fund.</w:t>
      </w:r>
    </w:p>
    <w:p w14:paraId="0C7441B4"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“Our fund universe now includes leading Growthpoint retail destinations in major metropoles such as The Constantia Village, La Lucia Mall, Greenacres Shopping Centre, Waterfall Mall, Brooklyn Mall and Festival Mall. Other leading properties belonging to other funds include Sandton City, Eastgate Shopping Centre, Mall of Africa, Menlyn Park Shopping Centre, Gateway Theatre of Shopping, Canal Walk, Cavendish Square, Durbanville Village Square, KwaMashu Shopping Centre, Piet Retief Shopping Centre and Musgrave Centre.”</w:t>
      </w:r>
    </w:p>
    <w:p w14:paraId="63093D0D" w14:textId="77777777" w:rsidR="00851DBF" w:rsidRPr="00851DBF" w:rsidRDefault="00851DBF" w:rsidP="00851DBF">
      <w:pPr>
        <w:spacing w:line="248" w:lineRule="auto"/>
        <w:ind w:left="7" w:right="9" w:hanging="4"/>
        <w:rPr>
          <w:rFonts w:ascii="Trebuchet MS" w:hAnsi="Trebuchet MS"/>
        </w:rPr>
      </w:pPr>
    </w:p>
    <w:p w14:paraId="7478116F"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 xml:space="preserve">Gavin Jones, Growthpoint Head of Asset Management: Retail, says the </w:t>
      </w:r>
      <w:proofErr w:type="spellStart"/>
      <w:r w:rsidRPr="00851DBF">
        <w:rPr>
          <w:rFonts w:ascii="Trebuchet MS" w:hAnsi="Trebuchet MS"/>
        </w:rPr>
        <w:t>Clur</w:t>
      </w:r>
      <w:proofErr w:type="spellEnd"/>
      <w:r w:rsidRPr="00851DBF">
        <w:rPr>
          <w:rFonts w:ascii="Trebuchet MS" w:hAnsi="Trebuchet MS"/>
        </w:rPr>
        <w:t xml:space="preserve"> platform serves a crucial industry need by promoting a proactive management approach.</w:t>
      </w:r>
    </w:p>
    <w:p w14:paraId="3D41B6E0" w14:textId="77777777" w:rsidR="00851DBF" w:rsidRPr="00851DBF" w:rsidRDefault="00851DBF" w:rsidP="00851DBF">
      <w:pPr>
        <w:spacing w:line="248" w:lineRule="auto"/>
        <w:ind w:left="7" w:right="9" w:hanging="4"/>
        <w:rPr>
          <w:rFonts w:ascii="Trebuchet MS" w:hAnsi="Trebuchet MS"/>
        </w:rPr>
      </w:pPr>
    </w:p>
    <w:p w14:paraId="1D118A6A"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“In essence, it guides strategy and helps optimize returns through a closer understanding of fund positioning and asset health. It is widely regarded as a fast, accurate, visual translation of information geared to prevent blind spots and quickly point to strengths, risks and solutions through ongoing monitoring.</w:t>
      </w:r>
    </w:p>
    <w:p w14:paraId="44F7D295"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 xml:space="preserve"> </w:t>
      </w:r>
    </w:p>
    <w:p w14:paraId="7256824E"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 xml:space="preserve">“Moreover, it is known for providing users with a leading indicator on market movements, before broader economic and sector data is released. It provides insights into performance across 140 merchandise categories and in </w:t>
      </w:r>
      <w:proofErr w:type="spellStart"/>
      <w:r w:rsidRPr="00851DBF">
        <w:rPr>
          <w:rFonts w:ascii="Trebuchet MS" w:hAnsi="Trebuchet MS"/>
        </w:rPr>
        <w:t>centres</w:t>
      </w:r>
      <w:proofErr w:type="spellEnd"/>
      <w:r w:rsidRPr="00851DBF">
        <w:rPr>
          <w:rFonts w:ascii="Trebuchet MS" w:hAnsi="Trebuchet MS"/>
        </w:rPr>
        <w:t xml:space="preserve"> of varying size formats in different locations. It has standardized the industry, so that we can compare apples with apples.</w:t>
      </w:r>
    </w:p>
    <w:p w14:paraId="7BD1E4EA" w14:textId="77777777" w:rsidR="00851DBF" w:rsidRPr="00851DBF" w:rsidRDefault="00851DBF" w:rsidP="00851DBF">
      <w:pPr>
        <w:spacing w:line="248" w:lineRule="auto"/>
        <w:ind w:left="7" w:right="9" w:hanging="4"/>
        <w:rPr>
          <w:rFonts w:ascii="Trebuchet MS" w:hAnsi="Trebuchet MS"/>
        </w:rPr>
      </w:pPr>
    </w:p>
    <w:p w14:paraId="3E47EB81" w14:textId="77777777" w:rsidR="00851DBF" w:rsidRPr="00851DBF" w:rsidRDefault="00851DBF" w:rsidP="00851DBF">
      <w:pPr>
        <w:spacing w:line="248" w:lineRule="auto"/>
        <w:ind w:left="7" w:right="9" w:hanging="4"/>
        <w:rPr>
          <w:rFonts w:ascii="Trebuchet MS" w:hAnsi="Trebuchet MS"/>
        </w:rPr>
      </w:pPr>
      <w:r w:rsidRPr="00851DBF">
        <w:rPr>
          <w:rFonts w:ascii="Trebuchet MS" w:hAnsi="Trebuchet MS"/>
        </w:rPr>
        <w:t xml:space="preserve">“Ultimately, it enables us to enhance the overall experience at our shopping </w:t>
      </w:r>
      <w:proofErr w:type="spellStart"/>
      <w:r w:rsidRPr="00851DBF">
        <w:rPr>
          <w:rFonts w:ascii="Trebuchet MS" w:hAnsi="Trebuchet MS"/>
        </w:rPr>
        <w:t>centres</w:t>
      </w:r>
      <w:proofErr w:type="spellEnd"/>
      <w:r w:rsidRPr="00851DBF">
        <w:rPr>
          <w:rFonts w:ascii="Trebuchet MS" w:hAnsi="Trebuchet MS"/>
        </w:rPr>
        <w:t xml:space="preserve"> for both consumers and tenants. It equips us better to tailor innovations and solutions for stakeholders and to drive business sustainability.”</w:t>
      </w:r>
    </w:p>
    <w:p w14:paraId="68228F80" w14:textId="77777777" w:rsidR="00851DBF" w:rsidRPr="00851DBF" w:rsidRDefault="00851DBF" w:rsidP="00851DBF">
      <w:pPr>
        <w:spacing w:line="248" w:lineRule="auto"/>
        <w:ind w:left="7" w:right="9" w:hanging="4"/>
        <w:rPr>
          <w:rFonts w:ascii="Trebuchet MS" w:hAnsi="Trebuchet MS"/>
        </w:rPr>
      </w:pPr>
    </w:p>
    <w:p w14:paraId="10E800F6" w14:textId="77777777" w:rsidR="00851DBF" w:rsidRPr="00851DBF" w:rsidRDefault="00851DBF" w:rsidP="00851DBF">
      <w:pPr>
        <w:shd w:val="clear" w:color="auto" w:fill="FFFFFF"/>
        <w:spacing w:after="225" w:line="240" w:lineRule="auto"/>
        <w:rPr>
          <w:rFonts w:ascii="Trebuchet MS" w:hAnsi="Trebuchet MS"/>
        </w:rPr>
      </w:pPr>
      <w:r w:rsidRPr="00851DBF">
        <w:rPr>
          <w:rFonts w:ascii="Trebuchet MS" w:hAnsi="Trebuchet MS"/>
        </w:rPr>
        <w:t xml:space="preserve">Amelia Beattie, Chief Executive of Liberty Two Degrees and an early driver of the </w:t>
      </w:r>
      <w:proofErr w:type="spellStart"/>
      <w:r w:rsidRPr="00851DBF">
        <w:rPr>
          <w:rFonts w:ascii="Trebuchet MS" w:hAnsi="Trebuchet MS"/>
        </w:rPr>
        <w:t>Clur</w:t>
      </w:r>
      <w:proofErr w:type="spellEnd"/>
      <w:r w:rsidRPr="00851DBF">
        <w:rPr>
          <w:rFonts w:ascii="Trebuchet MS" w:hAnsi="Trebuchet MS"/>
        </w:rPr>
        <w:t xml:space="preserve"> platform, says: “The current economic downturn and the dynamic nature of the sector has sharpened fund managers’ focus on up-to-date performance tracking and on active asset management techniques. While there is a slowing in the growth of trading density across the industry, the L2D portfolio trading density remains well ahead of the benchmark. This is attributed to the quality of the assets held within the L2D portfolio in conjunction with innovative and relevant asset management.”    </w:t>
      </w:r>
    </w:p>
    <w:p w14:paraId="2F79A094" w14:textId="77777777" w:rsidR="00851DBF" w:rsidRPr="00851DBF" w:rsidRDefault="00851DBF" w:rsidP="00851DBF">
      <w:pPr>
        <w:shd w:val="clear" w:color="auto" w:fill="FFFFFF"/>
        <w:spacing w:after="225" w:line="240" w:lineRule="auto"/>
        <w:rPr>
          <w:rFonts w:ascii="Trebuchet MS" w:eastAsia="Times New Roman" w:hAnsi="Trebuchet MS" w:cstheme="minorHAnsi"/>
          <w14:ligatures w14:val="none"/>
        </w:rPr>
      </w:pPr>
      <w:proofErr w:type="spellStart"/>
      <w:r w:rsidRPr="00851DBF">
        <w:rPr>
          <w:rFonts w:ascii="Trebuchet MS" w:eastAsia="Times New Roman" w:hAnsi="Trebuchet MS" w:cstheme="minorHAnsi"/>
          <w14:ligatures w14:val="none"/>
        </w:rPr>
        <w:t>Clur</w:t>
      </w:r>
      <w:proofErr w:type="spellEnd"/>
      <w:r w:rsidRPr="00851DBF">
        <w:rPr>
          <w:rFonts w:ascii="Trebuchet MS" w:eastAsia="Times New Roman" w:hAnsi="Trebuchet MS" w:cstheme="minorHAnsi"/>
          <w14:ligatures w14:val="none"/>
        </w:rPr>
        <w:t xml:space="preserve"> says that even in the current tough market conditions, the South African retail sector has much to teach the world. “We have world-class forward-thinking shopping </w:t>
      </w:r>
      <w:proofErr w:type="spellStart"/>
      <w:r w:rsidRPr="00851DBF">
        <w:rPr>
          <w:rFonts w:ascii="Trebuchet MS" w:eastAsia="Times New Roman" w:hAnsi="Trebuchet MS" w:cstheme="minorHAnsi"/>
          <w14:ligatures w14:val="none"/>
        </w:rPr>
        <w:t>centres</w:t>
      </w:r>
      <w:proofErr w:type="spellEnd"/>
      <w:r w:rsidRPr="00851DBF">
        <w:rPr>
          <w:rFonts w:ascii="Trebuchet MS" w:eastAsia="Times New Roman" w:hAnsi="Trebuchet MS" w:cstheme="minorHAnsi"/>
          <w14:ligatures w14:val="none"/>
        </w:rPr>
        <w:t>, retailers, designers and asset managers. They have shown their mettle in turbulent times.”</w:t>
      </w:r>
    </w:p>
    <w:p w14:paraId="681224FB" w14:textId="77777777" w:rsidR="00851DBF" w:rsidRPr="00851DBF" w:rsidRDefault="00851DBF" w:rsidP="00851DBF">
      <w:pPr>
        <w:shd w:val="clear" w:color="auto" w:fill="FFFFFF"/>
        <w:spacing w:after="225" w:line="240" w:lineRule="auto"/>
        <w:rPr>
          <w:rFonts w:ascii="Trebuchet MS" w:eastAsia="Times New Roman" w:hAnsi="Trebuchet MS" w:cstheme="minorHAnsi"/>
          <w14:ligatures w14:val="none"/>
        </w:rPr>
      </w:pPr>
      <w:r w:rsidRPr="00851DBF">
        <w:rPr>
          <w:rFonts w:ascii="Trebuchet MS" w:eastAsia="Times New Roman" w:hAnsi="Trebuchet MS" w:cstheme="minorHAnsi"/>
          <w14:ligatures w14:val="none"/>
        </w:rPr>
        <w:t>She describes the current commercial environment as a “</w:t>
      </w:r>
      <w:proofErr w:type="spellStart"/>
      <w:r w:rsidRPr="00851DBF">
        <w:rPr>
          <w:rFonts w:ascii="Trebuchet MS" w:eastAsia="Times New Roman" w:hAnsi="Trebuchet MS" w:cstheme="minorHAnsi"/>
          <w14:ligatures w14:val="none"/>
        </w:rPr>
        <w:t>Kinstsugi</w:t>
      </w:r>
      <w:proofErr w:type="spellEnd"/>
      <w:r w:rsidRPr="00851DBF">
        <w:rPr>
          <w:rFonts w:ascii="Trebuchet MS" w:eastAsia="Times New Roman" w:hAnsi="Trebuchet MS" w:cstheme="minorHAnsi"/>
          <w14:ligatures w14:val="none"/>
        </w:rPr>
        <w:t xml:space="preserve"> economy”, after the Japanese art of mending broken pottery with gold.  </w:t>
      </w:r>
    </w:p>
    <w:p w14:paraId="1B219B82" w14:textId="77777777" w:rsidR="00851DBF" w:rsidRPr="00851DBF" w:rsidRDefault="00851DBF" w:rsidP="00851DBF">
      <w:pPr>
        <w:shd w:val="clear" w:color="auto" w:fill="FFFFFF"/>
        <w:spacing w:after="225" w:line="240" w:lineRule="auto"/>
        <w:rPr>
          <w:rFonts w:ascii="Trebuchet MS" w:hAnsi="Trebuchet MS"/>
          <w:iCs/>
        </w:rPr>
      </w:pPr>
      <w:r w:rsidRPr="00851DBF">
        <w:rPr>
          <w:rFonts w:ascii="Trebuchet MS" w:eastAsia="Times New Roman" w:hAnsi="Trebuchet MS" w:cstheme="minorHAnsi"/>
          <w14:ligatures w14:val="none"/>
        </w:rPr>
        <w:t>“</w:t>
      </w:r>
      <w:r w:rsidRPr="00851DBF">
        <w:rPr>
          <w:rFonts w:ascii="Trebuchet MS" w:hAnsi="Trebuchet MS"/>
          <w:iCs/>
        </w:rPr>
        <w:t xml:space="preserve">Conditions today may be thought of as a Kintsugi economy, full of cracks and imperfections, severely aggravated by economic pressures and the lingering impact of the Covid-19 pandemic. This is a time where we need to build on the Japanese masters’ belief that broken pieces hold value, experience and rich substance. Rather than casting these aside, we should </w:t>
      </w:r>
      <w:proofErr w:type="spellStart"/>
      <w:r w:rsidRPr="00851DBF">
        <w:rPr>
          <w:rFonts w:ascii="Trebuchet MS" w:hAnsi="Trebuchet MS"/>
          <w:iCs/>
        </w:rPr>
        <w:t>recognise</w:t>
      </w:r>
      <w:proofErr w:type="spellEnd"/>
      <w:r w:rsidRPr="00851DBF">
        <w:rPr>
          <w:rFonts w:ascii="Trebuchet MS" w:hAnsi="Trebuchet MS"/>
          <w:iCs/>
        </w:rPr>
        <w:t xml:space="preserve"> their significance and mend them through creativity, care and sound decisions.</w:t>
      </w:r>
    </w:p>
    <w:p w14:paraId="73579A66" w14:textId="77777777" w:rsidR="00851DBF" w:rsidRPr="00851DBF" w:rsidRDefault="00851DBF" w:rsidP="00851DBF">
      <w:pPr>
        <w:shd w:val="clear" w:color="auto" w:fill="FFFFFF"/>
        <w:spacing w:after="225" w:line="240" w:lineRule="auto"/>
        <w:rPr>
          <w:rFonts w:ascii="Trebuchet MS" w:hAnsi="Trebuchet MS"/>
          <w:iCs/>
        </w:rPr>
      </w:pPr>
      <w:r w:rsidRPr="00851DBF">
        <w:rPr>
          <w:rFonts w:ascii="Trebuchet MS" w:hAnsi="Trebuchet MS"/>
          <w:iCs/>
        </w:rPr>
        <w:t>“To contribute to that process and to even more proactive management, we have recently launched additional indices for Gauteng, KwaZulu-Natal and the Western Cape and for luxury brands.”</w:t>
      </w:r>
    </w:p>
    <w:p w14:paraId="02CB2289" w14:textId="77777777" w:rsidR="00851DBF" w:rsidRPr="00851DBF" w:rsidRDefault="00851DBF" w:rsidP="00851DBF">
      <w:pPr>
        <w:shd w:val="clear" w:color="auto" w:fill="FFFFFF"/>
        <w:spacing w:after="225" w:line="240" w:lineRule="auto"/>
        <w:rPr>
          <w:rFonts w:ascii="Trebuchet MS" w:eastAsia="Times New Roman" w:hAnsi="Trebuchet MS" w:cstheme="minorHAnsi"/>
          <w14:ligatures w14:val="none"/>
        </w:rPr>
      </w:pPr>
      <w:r w:rsidRPr="00851DBF">
        <w:rPr>
          <w:rFonts w:ascii="Trebuchet MS" w:eastAsia="Times New Roman" w:hAnsi="Trebuchet MS" w:cstheme="minorHAnsi"/>
          <w14:ligatures w14:val="none"/>
        </w:rPr>
        <w:t xml:space="preserve">A partnership approach with funds and drawing on her 26-year experience in international retail, property and pioneering initiatives for retail benchmarking have tailored the </w:t>
      </w:r>
      <w:proofErr w:type="spellStart"/>
      <w:r w:rsidRPr="00851DBF">
        <w:rPr>
          <w:rFonts w:ascii="Trebuchet MS" w:eastAsia="Times New Roman" w:hAnsi="Trebuchet MS" w:cstheme="minorHAnsi"/>
          <w14:ligatures w14:val="none"/>
        </w:rPr>
        <w:t>Clur</w:t>
      </w:r>
      <w:proofErr w:type="spellEnd"/>
      <w:r w:rsidRPr="00851DBF">
        <w:rPr>
          <w:rFonts w:ascii="Trebuchet MS" w:eastAsia="Times New Roman" w:hAnsi="Trebuchet MS" w:cstheme="minorHAnsi"/>
          <w14:ligatures w14:val="none"/>
        </w:rPr>
        <w:t xml:space="preserve"> Collective into a purpose-built highly strategic asset management support platform, she says.</w:t>
      </w:r>
    </w:p>
    <w:p w14:paraId="45F88F67" w14:textId="77777777" w:rsidR="00851DBF" w:rsidRPr="00851DBF" w:rsidRDefault="00851DBF" w:rsidP="00851DBF">
      <w:pPr>
        <w:shd w:val="clear" w:color="auto" w:fill="FFFFFF"/>
        <w:spacing w:after="225" w:line="240" w:lineRule="auto"/>
        <w:rPr>
          <w:rFonts w:ascii="Trebuchet MS" w:eastAsia="Times New Roman" w:hAnsi="Trebuchet MS" w:cstheme="minorHAnsi"/>
          <w14:ligatures w14:val="none"/>
        </w:rPr>
      </w:pPr>
      <w:r w:rsidRPr="00851DBF">
        <w:rPr>
          <w:rFonts w:ascii="Trebuchet MS" w:eastAsia="Times New Roman" w:hAnsi="Trebuchet MS" w:cstheme="minorHAnsi"/>
          <w14:ligatures w14:val="none"/>
        </w:rPr>
        <w:t xml:space="preserve"> “The platform has grown to serve users through providing ‘battle </w:t>
      </w:r>
      <w:proofErr w:type="gramStart"/>
      <w:r w:rsidRPr="00851DBF">
        <w:rPr>
          <w:rFonts w:ascii="Trebuchet MS" w:eastAsia="Times New Roman" w:hAnsi="Trebuchet MS" w:cstheme="minorHAnsi"/>
          <w14:ligatures w14:val="none"/>
        </w:rPr>
        <w:t>tools’</w:t>
      </w:r>
      <w:proofErr w:type="gramEnd"/>
      <w:r w:rsidRPr="00851DBF">
        <w:rPr>
          <w:rFonts w:ascii="Trebuchet MS" w:eastAsia="Times New Roman" w:hAnsi="Trebuchet MS" w:cstheme="minorHAnsi"/>
          <w14:ligatures w14:val="none"/>
        </w:rPr>
        <w:t xml:space="preserve"> and targeted recommendations informing investment decisions, performance management, leasing negotiations, sales, rental and space optimization, tenant and product mix and financial, marketing and acquisitions/disposals strategies. All areas of underperformance, performance and risk are identified through interpretive reporting and sophisticated proprietary methodologies that deliver crucial information at one’s fingertips.” </w:t>
      </w:r>
    </w:p>
    <w:p w14:paraId="6BA22DA5" w14:textId="77777777" w:rsidR="00851DBF" w:rsidRPr="00851DBF" w:rsidRDefault="00851DBF" w:rsidP="00851DBF">
      <w:pPr>
        <w:shd w:val="clear" w:color="auto" w:fill="FFFFFF"/>
        <w:spacing w:after="225" w:line="240" w:lineRule="auto"/>
        <w:rPr>
          <w:rFonts w:ascii="Trebuchet MS" w:eastAsia="Times New Roman" w:hAnsi="Trebuchet MS" w:cstheme="minorHAnsi"/>
          <w14:ligatures w14:val="none"/>
        </w:rPr>
      </w:pPr>
      <w:proofErr w:type="spellStart"/>
      <w:r w:rsidRPr="00851DBF">
        <w:rPr>
          <w:rFonts w:ascii="Trebuchet MS" w:eastAsia="Times New Roman" w:hAnsi="Trebuchet MS" w:cstheme="minorHAnsi"/>
          <w14:ligatures w14:val="none"/>
        </w:rPr>
        <w:t>Clur</w:t>
      </w:r>
      <w:proofErr w:type="spellEnd"/>
      <w:r w:rsidRPr="00851DBF">
        <w:rPr>
          <w:rFonts w:ascii="Trebuchet MS" w:eastAsia="Times New Roman" w:hAnsi="Trebuchet MS" w:cstheme="minorHAnsi"/>
          <w14:ligatures w14:val="none"/>
        </w:rPr>
        <w:t xml:space="preserve"> says topping 5 million square </w:t>
      </w:r>
      <w:proofErr w:type="spellStart"/>
      <w:r w:rsidRPr="00851DBF">
        <w:rPr>
          <w:rFonts w:ascii="Trebuchet MS" w:eastAsia="Times New Roman" w:hAnsi="Trebuchet MS" w:cstheme="minorHAnsi"/>
          <w14:ligatures w14:val="none"/>
        </w:rPr>
        <w:t>metres</w:t>
      </w:r>
      <w:proofErr w:type="spellEnd"/>
      <w:r w:rsidRPr="00851DBF">
        <w:rPr>
          <w:rFonts w:ascii="Trebuchet MS" w:eastAsia="Times New Roman" w:hAnsi="Trebuchet MS" w:cstheme="minorHAnsi"/>
          <w14:ligatures w14:val="none"/>
        </w:rPr>
        <w:t xml:space="preserve"> in the fund universe was a special high-water mark for her and her team. </w:t>
      </w:r>
    </w:p>
    <w:p w14:paraId="47BE11DF" w14:textId="77777777" w:rsidR="00851DBF" w:rsidRPr="00851DBF" w:rsidRDefault="00851DBF" w:rsidP="00851DBF">
      <w:pPr>
        <w:shd w:val="clear" w:color="auto" w:fill="FFFFFF"/>
        <w:spacing w:after="225" w:line="240" w:lineRule="auto"/>
        <w:rPr>
          <w:rFonts w:ascii="Trebuchet MS" w:eastAsia="Times New Roman" w:hAnsi="Trebuchet MS"/>
          <w:lang w:val="en-ZA"/>
        </w:rPr>
      </w:pPr>
      <w:r w:rsidRPr="00851DBF">
        <w:rPr>
          <w:rFonts w:ascii="Trebuchet MS" w:eastAsia="Times New Roman" w:hAnsi="Trebuchet MS" w:cstheme="minorHAnsi"/>
          <w14:ligatures w14:val="none"/>
        </w:rPr>
        <w:t xml:space="preserve">“For me personally it is enormously fulfilling to have achieved this level of endorsement from the industry since I started and self-funded the business. </w:t>
      </w:r>
      <w:r w:rsidRPr="00851DBF">
        <w:rPr>
          <w:rFonts w:ascii="Trebuchet MS" w:eastAsia="Times New Roman" w:hAnsi="Trebuchet MS"/>
          <w:lang w:val="en-ZA"/>
        </w:rPr>
        <w:t>The entrepreneurial journey makes you face your demons and strengths, but it is very rewarding to see something you’ve started from nothing succeed. It eats your life though, so you need to be careful about balance, a current key consumer theme.”</w:t>
      </w:r>
    </w:p>
    <w:p w14:paraId="3B5D968A" w14:textId="75C22B73" w:rsidR="00851DBF" w:rsidRPr="00851DBF" w:rsidRDefault="00851DBF" w:rsidP="00851DBF">
      <w:pPr>
        <w:shd w:val="clear" w:color="auto" w:fill="FFFFFF" w:themeFill="background1"/>
        <w:spacing w:after="225" w:line="240" w:lineRule="auto"/>
        <w:jc w:val="center"/>
        <w:rPr>
          <w:rFonts w:ascii="Trebuchet MS" w:eastAsia="Times New Roman" w:hAnsi="Trebuchet MS" w:cs="Helvetica"/>
          <w14:ligatures w14:val="none"/>
        </w:rPr>
      </w:pPr>
      <w:r w:rsidRPr="00851DBF">
        <w:rPr>
          <w:rFonts w:ascii="Trebuchet MS" w:eastAsia="Times New Roman" w:hAnsi="Trebuchet MS" w:cs="Helvetica"/>
          <w14:ligatures w14:val="none"/>
        </w:rPr>
        <w:t>…/end</w:t>
      </w:r>
      <w:r>
        <w:rPr>
          <w:rFonts w:ascii="Trebuchet MS" w:eastAsia="Times New Roman" w:hAnsi="Trebuchet MS" w:cs="Helvetica"/>
          <w14:ligatures w14:val="none"/>
        </w:rPr>
        <w:t>s</w:t>
      </w:r>
    </w:p>
    <w:p w14:paraId="2D279D87" w14:textId="73205B5B" w:rsidR="00851DBF" w:rsidRPr="00851DBF" w:rsidRDefault="00851DBF" w:rsidP="00851DBF">
      <w:pPr>
        <w:shd w:val="clear" w:color="auto" w:fill="FFFFFF" w:themeFill="background1"/>
        <w:rPr>
          <w:rFonts w:ascii="Trebuchet MS" w:eastAsiaTheme="minorEastAsia" w:hAnsi="Trebuchet MS"/>
          <w:b/>
          <w:bCs/>
        </w:rPr>
      </w:pPr>
      <w:r w:rsidRPr="00851DBF">
        <w:rPr>
          <w:rFonts w:ascii="Trebuchet MS" w:eastAsiaTheme="minorEastAsia" w:hAnsi="Trebuchet MS"/>
          <w:b/>
          <w:bCs/>
        </w:rPr>
        <w:lastRenderedPageBreak/>
        <w:t>ABOUT GROWTHPOINT PROPERTIES:</w:t>
      </w:r>
    </w:p>
    <w:p w14:paraId="63D303A8" w14:textId="77777777" w:rsidR="00851DBF" w:rsidRDefault="00851DBF" w:rsidP="00851DBF">
      <w:pPr>
        <w:shd w:val="clear" w:color="auto" w:fill="FFFFFF" w:themeFill="background1"/>
        <w:rPr>
          <w:rFonts w:ascii="Trebuchet MS" w:eastAsiaTheme="minorEastAsia" w:hAnsi="Trebuchet MS" w:cstheme="minorHAnsi"/>
        </w:rPr>
      </w:pPr>
      <w:r w:rsidRPr="00851DBF">
        <w:rPr>
          <w:rFonts w:ascii="Trebuchet MS" w:eastAsiaTheme="minorEastAsia" w:hAnsi="Trebuchet MS"/>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851DBF">
        <w:rPr>
          <w:rFonts w:ascii="Trebuchet MS" w:eastAsiaTheme="minorEastAsia" w:hAnsi="Trebuchet MS" w:cstheme="minorHAnsi"/>
        </w:rPr>
        <w:t xml:space="preserve">tor in South Africa, establishing green building as an accepted practice in the local commercial property sector and driving the adoption of renewable energy. Visit </w:t>
      </w:r>
      <w:hyperlink r:id="rId9" w:history="1">
        <w:r w:rsidRPr="00851DBF">
          <w:rPr>
            <w:rStyle w:val="Hyperlink"/>
            <w:rFonts w:ascii="Trebuchet MS" w:eastAsia="Merriweather" w:hAnsi="Trebuchet MS" w:cstheme="minorHAnsi"/>
          </w:rPr>
          <w:t>growthpoint.co.za</w:t>
        </w:r>
      </w:hyperlink>
      <w:r w:rsidRPr="00851DBF">
        <w:rPr>
          <w:rFonts w:ascii="Trebuchet MS" w:eastAsiaTheme="minorEastAsia" w:hAnsi="Trebuchet MS" w:cstheme="minorHAnsi"/>
        </w:rPr>
        <w:t xml:space="preserve"> for more information. Connect with Growthpoint on </w:t>
      </w:r>
      <w:hyperlink r:id="rId10" w:history="1">
        <w:r w:rsidRPr="00851DBF">
          <w:rPr>
            <w:rStyle w:val="Hyperlink"/>
            <w:rFonts w:ascii="Trebuchet MS" w:eastAsia="Merriweather" w:hAnsi="Trebuchet MS" w:cstheme="minorHAnsi"/>
          </w:rPr>
          <w:t>Facebook</w:t>
        </w:r>
      </w:hyperlink>
      <w:r w:rsidRPr="00851DBF">
        <w:rPr>
          <w:rFonts w:ascii="Trebuchet MS" w:eastAsiaTheme="minorEastAsia" w:hAnsi="Trebuchet MS" w:cstheme="minorHAnsi"/>
        </w:rPr>
        <w:t xml:space="preserve">, </w:t>
      </w:r>
      <w:hyperlink r:id="rId11" w:history="1">
        <w:r w:rsidRPr="00851DBF">
          <w:rPr>
            <w:rStyle w:val="Hyperlink"/>
            <w:rFonts w:ascii="Trebuchet MS" w:eastAsia="Merriweather" w:hAnsi="Trebuchet MS" w:cstheme="minorHAnsi"/>
          </w:rPr>
          <w:t>Twitter</w:t>
        </w:r>
      </w:hyperlink>
      <w:r w:rsidRPr="00851DBF">
        <w:rPr>
          <w:rFonts w:ascii="Trebuchet MS" w:eastAsiaTheme="minorEastAsia" w:hAnsi="Trebuchet MS" w:cstheme="minorHAnsi"/>
        </w:rPr>
        <w:t xml:space="preserve">, </w:t>
      </w:r>
      <w:hyperlink r:id="rId12" w:history="1">
        <w:r w:rsidRPr="00851DBF">
          <w:rPr>
            <w:rStyle w:val="Hyperlink"/>
            <w:rFonts w:ascii="Trebuchet MS" w:eastAsia="Merriweather" w:hAnsi="Trebuchet MS" w:cstheme="minorHAnsi"/>
          </w:rPr>
          <w:t>LinkedIn</w:t>
        </w:r>
      </w:hyperlink>
      <w:r w:rsidRPr="00851DBF">
        <w:rPr>
          <w:rFonts w:ascii="Trebuchet MS" w:eastAsiaTheme="minorEastAsia" w:hAnsi="Trebuchet MS" w:cstheme="minorHAnsi"/>
        </w:rPr>
        <w:t xml:space="preserve"> and </w:t>
      </w:r>
      <w:hyperlink r:id="rId13" w:history="1">
        <w:r w:rsidRPr="00851DBF">
          <w:rPr>
            <w:rStyle w:val="Hyperlink"/>
            <w:rFonts w:ascii="Trebuchet MS" w:eastAsia="Merriweather" w:hAnsi="Trebuchet MS" w:cstheme="minorHAnsi"/>
          </w:rPr>
          <w:t>YouTube</w:t>
        </w:r>
      </w:hyperlink>
      <w:r w:rsidRPr="00851DBF">
        <w:rPr>
          <w:rFonts w:ascii="Trebuchet MS" w:eastAsiaTheme="minorEastAsia" w:hAnsi="Trebuchet MS" w:cstheme="minorHAnsi"/>
        </w:rPr>
        <w:t>.</w:t>
      </w:r>
    </w:p>
    <w:p w14:paraId="487DA8B4" w14:textId="77777777" w:rsidR="00851DBF" w:rsidRDefault="00851DBF" w:rsidP="00851DBF">
      <w:pPr>
        <w:shd w:val="clear" w:color="auto" w:fill="FFFFFF" w:themeFill="background1"/>
        <w:rPr>
          <w:rFonts w:ascii="Trebuchet MS" w:eastAsiaTheme="minorEastAsia" w:hAnsi="Trebuchet MS" w:cstheme="minorHAnsi"/>
        </w:rPr>
      </w:pPr>
    </w:p>
    <w:p w14:paraId="6A1A31E5" w14:textId="77777777" w:rsidR="00851DBF" w:rsidRPr="00851DBF" w:rsidRDefault="00851DBF" w:rsidP="00851DBF">
      <w:pPr>
        <w:shd w:val="clear" w:color="auto" w:fill="FFFFFF" w:themeFill="background1"/>
        <w:rPr>
          <w:rFonts w:ascii="Trebuchet MS" w:eastAsiaTheme="minorEastAsia" w:hAnsi="Trebuchet MS"/>
        </w:rPr>
      </w:pPr>
    </w:p>
    <w:p w14:paraId="3140260A" w14:textId="77777777" w:rsidR="00851DBF" w:rsidRPr="003D1834" w:rsidRDefault="00851DBF" w:rsidP="00851DBF">
      <w:pPr>
        <w:shd w:val="clear" w:color="auto" w:fill="FFFFFF" w:themeFill="background1"/>
        <w:rPr>
          <w:rFonts w:eastAsiaTheme="minorEastAsia"/>
          <w:color w:val="000000" w:themeColor="text1"/>
        </w:rPr>
      </w:pPr>
    </w:p>
    <w:p w14:paraId="05001797" w14:textId="77777777" w:rsidR="00851DBF" w:rsidRDefault="00851DBF" w:rsidP="00851DBF">
      <w:pPr>
        <w:shd w:val="clear" w:color="auto" w:fill="FFFFFF" w:themeFill="background1"/>
        <w:spacing w:after="225" w:line="240" w:lineRule="auto"/>
        <w:rPr>
          <w:rFonts w:ascii="Trebuchet MS" w:eastAsia="Trebuchet MS" w:hAnsi="Trebuchet MS" w:cs="Trebuchet MS"/>
          <w:color w:val="000000" w:themeColor="text1"/>
          <w:sz w:val="19"/>
          <w:szCs w:val="19"/>
        </w:rPr>
      </w:pPr>
    </w:p>
    <w:p w14:paraId="6F95BA0B" w14:textId="77777777" w:rsidR="00851DBF" w:rsidRPr="003D1834" w:rsidRDefault="00851DBF" w:rsidP="00851DBF">
      <w:pPr>
        <w:shd w:val="clear" w:color="auto" w:fill="FFFFFF" w:themeFill="background1"/>
        <w:spacing w:after="225" w:line="240" w:lineRule="auto"/>
        <w:rPr>
          <w:rFonts w:ascii="Trebuchet MS" w:hAnsi="Trebuchet MS"/>
          <w:color w:val="000000" w:themeColor="text1"/>
          <w:sz w:val="19"/>
        </w:rPr>
      </w:pPr>
    </w:p>
    <w:p w14:paraId="0107F367" w14:textId="002E1503" w:rsidR="003726C9" w:rsidRPr="003726C9" w:rsidRDefault="003726C9" w:rsidP="003726C9">
      <w:pPr>
        <w:tabs>
          <w:tab w:val="left" w:pos="3168"/>
        </w:tabs>
      </w:pPr>
    </w:p>
    <w:sectPr w:rsidR="003726C9" w:rsidRPr="003726C9" w:rsidSect="009B51B8">
      <w:headerReference w:type="default" r:id="rId14"/>
      <w:foot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1BBB1" w14:textId="77777777" w:rsidR="00D0739E" w:rsidRDefault="00D0739E" w:rsidP="003726C9">
      <w:pPr>
        <w:spacing w:line="240" w:lineRule="auto"/>
      </w:pPr>
      <w:r>
        <w:separator/>
      </w:r>
    </w:p>
  </w:endnote>
  <w:endnote w:type="continuationSeparator" w:id="0">
    <w:p w14:paraId="5ED793A6" w14:textId="77777777" w:rsidR="00D0739E" w:rsidRDefault="00D0739E" w:rsidP="003726C9">
      <w:pPr>
        <w:spacing w:line="240" w:lineRule="auto"/>
      </w:pPr>
      <w:r>
        <w:continuationSeparator/>
      </w:r>
    </w:p>
  </w:endnote>
  <w:endnote w:type="continuationNotice" w:id="1">
    <w:p w14:paraId="61BB659B" w14:textId="77777777" w:rsidR="00D0739E" w:rsidRDefault="00D073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8899602" w14:paraId="22AACB89" w14:textId="77777777" w:rsidTr="38899602">
      <w:trPr>
        <w:trHeight w:val="300"/>
      </w:trPr>
      <w:tc>
        <w:tcPr>
          <w:tcW w:w="3005" w:type="dxa"/>
        </w:tcPr>
        <w:p w14:paraId="74419713" w14:textId="1844B29E" w:rsidR="38899602" w:rsidRDefault="38899602" w:rsidP="38899602">
          <w:pPr>
            <w:pStyle w:val="Header"/>
            <w:ind w:left="-115"/>
          </w:pPr>
        </w:p>
      </w:tc>
      <w:tc>
        <w:tcPr>
          <w:tcW w:w="3005" w:type="dxa"/>
        </w:tcPr>
        <w:p w14:paraId="094CE088" w14:textId="1C541C90" w:rsidR="38899602" w:rsidRDefault="38899602" w:rsidP="38899602">
          <w:pPr>
            <w:pStyle w:val="Header"/>
            <w:jc w:val="center"/>
          </w:pPr>
        </w:p>
      </w:tc>
      <w:tc>
        <w:tcPr>
          <w:tcW w:w="3005" w:type="dxa"/>
        </w:tcPr>
        <w:p w14:paraId="28DF2F03" w14:textId="1FDDF906" w:rsidR="38899602" w:rsidRDefault="38899602" w:rsidP="38899602">
          <w:pPr>
            <w:pStyle w:val="Header"/>
            <w:ind w:right="-115"/>
            <w:jc w:val="right"/>
          </w:pPr>
        </w:p>
      </w:tc>
    </w:tr>
  </w:tbl>
  <w:p w14:paraId="4C9E4DC1" w14:textId="7BAFA609" w:rsidR="38899602" w:rsidRDefault="38899602" w:rsidP="38899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28173" w14:textId="77777777" w:rsidR="00D0739E" w:rsidRDefault="00D0739E" w:rsidP="003726C9">
      <w:pPr>
        <w:spacing w:line="240" w:lineRule="auto"/>
      </w:pPr>
      <w:r>
        <w:separator/>
      </w:r>
    </w:p>
  </w:footnote>
  <w:footnote w:type="continuationSeparator" w:id="0">
    <w:p w14:paraId="67D0D0C1" w14:textId="77777777" w:rsidR="00D0739E" w:rsidRDefault="00D0739E" w:rsidP="003726C9">
      <w:pPr>
        <w:spacing w:line="240" w:lineRule="auto"/>
      </w:pPr>
      <w:r>
        <w:continuationSeparator/>
      </w:r>
    </w:p>
  </w:footnote>
  <w:footnote w:type="continuationNotice" w:id="1">
    <w:p w14:paraId="0DAE4ECF" w14:textId="77777777" w:rsidR="00D0739E" w:rsidRDefault="00D073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B336" w14:textId="14DBE285" w:rsidR="003726C9"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90CAB" w14:textId="06871E60" w:rsidR="009B51B8" w:rsidRDefault="009B51B8" w:rsidP="009B51B8">
    <w:pPr>
      <w:pStyle w:val="Header"/>
      <w:jc w:val="center"/>
    </w:pPr>
    <w:r>
      <w:rPr>
        <w:noProof/>
      </w:rPr>
      <w:drawing>
        <wp:inline distT="0" distB="0" distL="0" distR="0" wp14:anchorId="08A4ECFF" wp14:editId="3A2494E1">
          <wp:extent cx="2993390" cy="1231265"/>
          <wp:effectExtent l="0" t="0" r="0" b="0"/>
          <wp:docPr id="3884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47ADA"/>
    <w:rsid w:val="00084B9B"/>
    <w:rsid w:val="000A6878"/>
    <w:rsid w:val="0023003B"/>
    <w:rsid w:val="00327FB9"/>
    <w:rsid w:val="0033593F"/>
    <w:rsid w:val="0034790C"/>
    <w:rsid w:val="00371A50"/>
    <w:rsid w:val="003726C9"/>
    <w:rsid w:val="00482826"/>
    <w:rsid w:val="004907AB"/>
    <w:rsid w:val="004B0746"/>
    <w:rsid w:val="00774E1A"/>
    <w:rsid w:val="007E1127"/>
    <w:rsid w:val="00851DBF"/>
    <w:rsid w:val="00904DAD"/>
    <w:rsid w:val="0094B572"/>
    <w:rsid w:val="00993EB6"/>
    <w:rsid w:val="009B51B8"/>
    <w:rsid w:val="00B47C97"/>
    <w:rsid w:val="00B508E0"/>
    <w:rsid w:val="00BE18D6"/>
    <w:rsid w:val="00CC35D0"/>
    <w:rsid w:val="00D0739E"/>
    <w:rsid w:val="00D9579A"/>
    <w:rsid w:val="00EB560D"/>
    <w:rsid w:val="00F94715"/>
    <w:rsid w:val="010798F5"/>
    <w:rsid w:val="28FE9C13"/>
    <w:rsid w:val="38899602"/>
    <w:rsid w:val="42C0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DC2C"/>
  <w15:chartTrackingRefBased/>
  <w15:docId w15:val="{8C06024A-6323-4226-9EE4-5C1DDBD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GrowthpointBroadca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inkedin.com/company/growthpoint-properties-lt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Growthpo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cebook.com/Growthpoint" TargetMode="External"/><Relationship Id="rId4" Type="http://schemas.openxmlformats.org/officeDocument/2006/relationships/styles" Target="styles.xml"/><Relationship Id="rId9" Type="http://schemas.openxmlformats.org/officeDocument/2006/relationships/hyperlink" Target="http://www.growthpoint.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2.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AEBC37E4-BF5D-4B43-9D91-4B31C19E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cp:lastModifiedBy>
  <cp:revision>2</cp:revision>
  <dcterms:created xsi:type="dcterms:W3CDTF">2024-07-30T10:57:00Z</dcterms:created>
  <dcterms:modified xsi:type="dcterms:W3CDTF">2024-07-30T10:57:00Z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MediaServiceImageTags">
    <vt:lpwstr/>
  </property>
</Properties>
</file>