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E9C8" w14:textId="6B89964E" w:rsidR="00DD498F" w:rsidRPr="0041350D" w:rsidRDefault="00DD498F" w:rsidP="00DD498F">
      <w:pPr>
        <w:rPr>
          <w:color w:val="000000" w:themeColor="text1"/>
        </w:rPr>
      </w:pPr>
      <w:r w:rsidRPr="0041350D">
        <w:rPr>
          <w:color w:val="000000" w:themeColor="text1"/>
        </w:rPr>
        <w:t>PRESS RELEASE</w:t>
      </w:r>
      <w:r w:rsidR="0041350D" w:rsidRPr="0041350D">
        <w:rPr>
          <w:color w:val="000000" w:themeColor="text1"/>
        </w:rPr>
        <w:t xml:space="preserve"> </w:t>
      </w:r>
    </w:p>
    <w:p w14:paraId="70347A7D" w14:textId="353EFB08" w:rsidR="00DD498F" w:rsidRPr="00FE7C56" w:rsidRDefault="00DD498F" w:rsidP="00DD498F">
      <w:pPr>
        <w:spacing w:line="264" w:lineRule="auto"/>
        <w:rPr>
          <w:rFonts w:ascii="Roboto" w:hAnsi="Roboto" w:cstheme="minorHAnsi"/>
          <w:sz w:val="28"/>
          <w:szCs w:val="28"/>
        </w:rPr>
      </w:pPr>
      <w:r w:rsidRPr="00FE7C56">
        <w:rPr>
          <w:rFonts w:ascii="Roboto" w:hAnsi="Roboto" w:cstheme="minorHAnsi"/>
          <w:sz w:val="28"/>
          <w:szCs w:val="28"/>
        </w:rPr>
        <w:t xml:space="preserve">Tuesday, 1 </w:t>
      </w:r>
      <w:r w:rsidR="0081344F" w:rsidRPr="00FE7C56">
        <w:rPr>
          <w:rFonts w:ascii="Roboto" w:hAnsi="Roboto" w:cstheme="minorHAnsi"/>
          <w:sz w:val="28"/>
          <w:szCs w:val="28"/>
        </w:rPr>
        <w:t>Ju</w:t>
      </w:r>
      <w:r w:rsidR="0081344F">
        <w:rPr>
          <w:rFonts w:ascii="Roboto" w:hAnsi="Roboto" w:cstheme="minorHAnsi"/>
          <w:sz w:val="28"/>
          <w:szCs w:val="28"/>
        </w:rPr>
        <w:t>ly</w:t>
      </w:r>
      <w:r w:rsidR="0081344F" w:rsidRPr="00FE7C56">
        <w:rPr>
          <w:rFonts w:ascii="Roboto" w:hAnsi="Roboto" w:cstheme="minorHAnsi"/>
          <w:sz w:val="28"/>
          <w:szCs w:val="28"/>
        </w:rPr>
        <w:t xml:space="preserve"> </w:t>
      </w:r>
      <w:r w:rsidRPr="00FE7C56">
        <w:rPr>
          <w:rFonts w:ascii="Roboto" w:hAnsi="Roboto" w:cstheme="minorHAnsi"/>
          <w:sz w:val="28"/>
          <w:szCs w:val="28"/>
        </w:rPr>
        <w:t>2025, Cape Town</w:t>
      </w:r>
    </w:p>
    <w:p w14:paraId="0523D1C1" w14:textId="77777777" w:rsidR="00DD498F" w:rsidRPr="00FE7C56" w:rsidRDefault="00DD498F" w:rsidP="00DD498F">
      <w:pPr>
        <w:spacing w:line="264" w:lineRule="auto"/>
        <w:rPr>
          <w:rFonts w:ascii="Roboto" w:hAnsi="Roboto" w:cstheme="minorHAnsi"/>
          <w:sz w:val="28"/>
          <w:szCs w:val="28"/>
        </w:rPr>
      </w:pPr>
    </w:p>
    <w:p w14:paraId="068FCB7D" w14:textId="0E05E6B5" w:rsidR="008C0F6D" w:rsidRPr="00FE7C56" w:rsidRDefault="00C80C7F" w:rsidP="00CE6ED3">
      <w:pPr>
        <w:spacing w:after="120" w:line="264" w:lineRule="auto"/>
        <w:rPr>
          <w:rFonts w:ascii="Roboto" w:hAnsi="Roboto" w:cstheme="minorHAnsi"/>
          <w:b/>
          <w:bCs/>
          <w:sz w:val="28"/>
          <w:szCs w:val="28"/>
        </w:rPr>
      </w:pPr>
      <w:r w:rsidRPr="00FE7C56">
        <w:rPr>
          <w:rFonts w:ascii="Roboto" w:hAnsi="Roboto" w:cstheme="minorHAnsi"/>
          <w:b/>
          <w:bCs/>
          <w:sz w:val="28"/>
          <w:szCs w:val="28"/>
        </w:rPr>
        <w:t xml:space="preserve">MSCI South Africa Green Annual Property Index </w:t>
      </w:r>
      <w:r w:rsidR="00E173FD" w:rsidRPr="00FE7C56">
        <w:rPr>
          <w:rFonts w:ascii="Roboto" w:hAnsi="Roboto" w:cstheme="minorHAnsi"/>
          <w:b/>
          <w:bCs/>
          <w:sz w:val="28"/>
          <w:szCs w:val="28"/>
        </w:rPr>
        <w:t>2024</w:t>
      </w:r>
    </w:p>
    <w:p w14:paraId="3B3E0323" w14:textId="77777777" w:rsidR="00670D49" w:rsidRPr="00FE7C56" w:rsidRDefault="007210AF" w:rsidP="00F056F5">
      <w:pPr>
        <w:spacing w:after="120" w:line="264" w:lineRule="auto"/>
        <w:jc w:val="both"/>
        <w:rPr>
          <w:rFonts w:ascii="Roboto" w:hAnsi="Roboto" w:cstheme="minorHAnsi"/>
          <w:sz w:val="22"/>
          <w:szCs w:val="22"/>
        </w:rPr>
      </w:pPr>
      <w:r w:rsidRPr="00FE7C56">
        <w:rPr>
          <w:rFonts w:ascii="Roboto" w:hAnsi="Roboto" w:cstheme="minorHAnsi"/>
          <w:sz w:val="22"/>
          <w:szCs w:val="22"/>
        </w:rPr>
        <w:t>The MSCI South Africa Green Annual Property Index for 2024 continued to reinforce the investment rationale for sustainable, resource-efficient real estate.</w:t>
      </w:r>
    </w:p>
    <w:p w14:paraId="6150AFE8" w14:textId="4DB3BF70" w:rsidR="003B62D4" w:rsidRPr="00FE7C56" w:rsidRDefault="007210AF" w:rsidP="00166028">
      <w:pPr>
        <w:spacing w:after="120" w:line="264" w:lineRule="auto"/>
        <w:jc w:val="both"/>
        <w:rPr>
          <w:rFonts w:ascii="Roboto" w:hAnsi="Roboto" w:cstheme="minorHAnsi"/>
          <w:sz w:val="22"/>
          <w:szCs w:val="22"/>
        </w:rPr>
      </w:pPr>
      <w:r w:rsidRPr="00FE7C56">
        <w:rPr>
          <w:rFonts w:ascii="Roboto" w:hAnsi="Roboto" w:cstheme="minorHAnsi"/>
          <w:sz w:val="22"/>
          <w:szCs w:val="22"/>
        </w:rPr>
        <w:t>Published annually since 2016 in collaboration with the Green Building Council of South Africa (GBCSA) and sponsored by Growthpoint Properties (JSE: GRT), the index offers an independent and globally aligned assessment of how green-certified properties compare to their non-certified counterparts in terms of investment performance.</w:t>
      </w:r>
    </w:p>
    <w:p w14:paraId="17F9F363" w14:textId="11044A6E" w:rsidR="00DA56D6" w:rsidRPr="00FE7C56" w:rsidRDefault="00DA56D6" w:rsidP="00166028">
      <w:pPr>
        <w:spacing w:after="120" w:line="264" w:lineRule="auto"/>
        <w:jc w:val="both"/>
        <w:rPr>
          <w:rFonts w:ascii="Roboto" w:hAnsi="Roboto" w:cstheme="minorHAnsi"/>
          <w:sz w:val="22"/>
          <w:szCs w:val="22"/>
        </w:rPr>
      </w:pPr>
      <w:r w:rsidRPr="00FE7C56">
        <w:rPr>
          <w:rFonts w:ascii="Roboto" w:hAnsi="Roboto" w:cstheme="minorHAnsi"/>
          <w:sz w:val="22"/>
          <w:szCs w:val="22"/>
        </w:rPr>
        <w:t>For 2024, the index showed that green certified Prime &amp; A-grade offices produced a total return of 10.1% which was 120bps above that of non-certified office assets of a similar quality during the year. Since the index’s launch in 2016, green-certified offices have outperformed non-certified assets by a cumulative 28.2%, delivering superior capital growth and operational resilience.</w:t>
      </w:r>
    </w:p>
    <w:p w14:paraId="1F998E91" w14:textId="586F5CE0" w:rsidR="00491D48" w:rsidRPr="00FE7C56" w:rsidRDefault="00DA56D6" w:rsidP="00491D48">
      <w:pPr>
        <w:spacing w:after="120" w:line="264" w:lineRule="auto"/>
        <w:jc w:val="both"/>
        <w:rPr>
          <w:rFonts w:ascii="Roboto" w:hAnsi="Roboto" w:cstheme="minorHAnsi"/>
          <w:i/>
          <w:iCs/>
          <w:sz w:val="22"/>
          <w:szCs w:val="22"/>
        </w:rPr>
      </w:pPr>
      <w:r w:rsidRPr="00FE7C56">
        <w:rPr>
          <w:rFonts w:ascii="Roboto" w:hAnsi="Roboto" w:cstheme="minorHAnsi"/>
          <w:b/>
          <w:bCs/>
          <w:sz w:val="22"/>
          <w:szCs w:val="22"/>
        </w:rPr>
        <w:t>Timothy Irvine, Head of Asset Management: Offices at Growthpoint</w:t>
      </w:r>
      <w:r w:rsidRPr="00FE7C56">
        <w:rPr>
          <w:rFonts w:ascii="Roboto" w:hAnsi="Roboto" w:cstheme="minorHAnsi"/>
          <w:sz w:val="22"/>
          <w:szCs w:val="22"/>
        </w:rPr>
        <w:t xml:space="preserve">, </w:t>
      </w:r>
      <w:r w:rsidR="00DD498F" w:rsidRPr="00FE7C56">
        <w:rPr>
          <w:rFonts w:ascii="Roboto" w:hAnsi="Roboto" w:cstheme="minorHAnsi"/>
          <w:sz w:val="22"/>
          <w:szCs w:val="22"/>
        </w:rPr>
        <w:t xml:space="preserve">which is at the forefront of green-building certification in South Africa, </w:t>
      </w:r>
      <w:r w:rsidRPr="00FE7C56">
        <w:rPr>
          <w:rFonts w:ascii="Roboto" w:hAnsi="Roboto" w:cstheme="minorHAnsi"/>
          <w:sz w:val="22"/>
          <w:szCs w:val="22"/>
        </w:rPr>
        <w:t>comments, </w:t>
      </w:r>
      <w:r w:rsidRPr="00FE7C56">
        <w:rPr>
          <w:rFonts w:ascii="Roboto" w:hAnsi="Roboto" w:cstheme="minorHAnsi"/>
          <w:i/>
          <w:iCs/>
          <w:sz w:val="22"/>
          <w:szCs w:val="22"/>
        </w:rPr>
        <w:t xml:space="preserve">“The 2024 MSCI South Africa Green Annual Property Index reaffirms the investment edge of green-certified commercial real estate. </w:t>
      </w:r>
      <w:r w:rsidR="00DD498F" w:rsidRPr="00FE7C56">
        <w:rPr>
          <w:rFonts w:ascii="Roboto" w:hAnsi="Roboto" w:cstheme="minorHAnsi"/>
          <w:i/>
          <w:iCs/>
          <w:sz w:val="22"/>
          <w:szCs w:val="22"/>
        </w:rPr>
        <w:t xml:space="preserve">The </w:t>
      </w:r>
      <w:r w:rsidR="00491D48" w:rsidRPr="00FE7C56">
        <w:rPr>
          <w:rFonts w:ascii="Roboto" w:hAnsi="Roboto" w:cstheme="minorHAnsi"/>
          <w:i/>
          <w:iCs/>
          <w:sz w:val="22"/>
          <w:szCs w:val="22"/>
        </w:rPr>
        <w:t xml:space="preserve">long-term outperformance </w:t>
      </w:r>
      <w:r w:rsidR="00DD498F" w:rsidRPr="00FE7C56">
        <w:rPr>
          <w:rFonts w:ascii="Roboto" w:hAnsi="Roboto" w:cstheme="minorHAnsi"/>
          <w:i/>
          <w:iCs/>
          <w:sz w:val="22"/>
          <w:szCs w:val="22"/>
        </w:rPr>
        <w:t xml:space="preserve">of green certified offices </w:t>
      </w:r>
      <w:r w:rsidR="00491D48" w:rsidRPr="00FE7C56">
        <w:rPr>
          <w:rFonts w:ascii="Roboto" w:hAnsi="Roboto" w:cstheme="minorHAnsi"/>
          <w:i/>
          <w:iCs/>
          <w:sz w:val="22"/>
          <w:szCs w:val="22"/>
        </w:rPr>
        <w:t>signals growing occupier and investor preference for sustainable, resource-efficient real estate and reinforces the strategic competitiveness of portfolios with a strong green building footprint.”</w:t>
      </w:r>
    </w:p>
    <w:p w14:paraId="101FCC2A" w14:textId="77777777" w:rsidR="00491D48" w:rsidRPr="00FE7C56" w:rsidRDefault="001C4A6F" w:rsidP="00A40692">
      <w:pPr>
        <w:spacing w:after="120" w:line="264" w:lineRule="auto"/>
        <w:jc w:val="both"/>
        <w:rPr>
          <w:rFonts w:ascii="Roboto" w:hAnsi="Roboto" w:cstheme="minorHAnsi"/>
          <w:sz w:val="22"/>
          <w:szCs w:val="22"/>
        </w:rPr>
      </w:pPr>
      <w:r w:rsidRPr="00FE7C56">
        <w:rPr>
          <w:rFonts w:ascii="Roboto" w:hAnsi="Roboto" w:cstheme="minorHAnsi"/>
          <w:sz w:val="22"/>
          <w:szCs w:val="22"/>
        </w:rPr>
        <w:t>Published in April 2025, the 2024 index covered a sample of 242 prime and A-grade office properties with a combined value of R54.7 billion, including 122 green-certified buildings. Reflecting the growing momentum of green certification beyond the office sector, the index also captured the performance of 33 green-certified retail properties.</w:t>
      </w:r>
    </w:p>
    <w:p w14:paraId="16957ADC" w14:textId="4E243737" w:rsidR="00807D21" w:rsidRPr="00FE7C56" w:rsidRDefault="00807D21" w:rsidP="00807D21">
      <w:pPr>
        <w:spacing w:after="120" w:line="264" w:lineRule="auto"/>
        <w:jc w:val="both"/>
        <w:rPr>
          <w:rFonts w:ascii="Roboto" w:hAnsi="Roboto" w:cstheme="minorHAnsi"/>
          <w:b/>
          <w:bCs/>
          <w:sz w:val="22"/>
          <w:szCs w:val="22"/>
        </w:rPr>
      </w:pPr>
      <w:r w:rsidRPr="00FE7C56">
        <w:rPr>
          <w:rFonts w:ascii="Roboto" w:hAnsi="Roboto" w:cstheme="minorHAnsi"/>
          <w:i/>
          <w:iCs/>
          <w:sz w:val="22"/>
          <w:szCs w:val="22"/>
        </w:rPr>
        <w:t>“The index has shown over several years that green-certified offices typically have better investment returns than non-certified offices. This year’s expansion to include the retail sector is exciting for us and reflects our commitment to supporting the drive for green across all building typologies. Through this expansion, we’re looking forward to tracking these results, and bringing new insights to market,</w:t>
      </w:r>
      <w:r w:rsidR="00F55B73" w:rsidRPr="00FE7C56">
        <w:rPr>
          <w:rFonts w:ascii="Roboto" w:hAnsi="Roboto" w:cstheme="minorHAnsi"/>
          <w:i/>
          <w:iCs/>
          <w:sz w:val="22"/>
          <w:szCs w:val="22"/>
        </w:rPr>
        <w:t>” says</w:t>
      </w:r>
      <w:r w:rsidRPr="00FE7C56">
        <w:rPr>
          <w:rFonts w:ascii="Roboto" w:hAnsi="Roboto" w:cstheme="minorHAnsi"/>
          <w:i/>
          <w:iCs/>
          <w:sz w:val="22"/>
          <w:szCs w:val="22"/>
        </w:rPr>
        <w:t xml:space="preserve"> </w:t>
      </w:r>
      <w:r w:rsidRPr="00FE7C56">
        <w:rPr>
          <w:rFonts w:ascii="Roboto" w:hAnsi="Roboto" w:cstheme="minorHAnsi"/>
          <w:b/>
          <w:bCs/>
          <w:sz w:val="22"/>
          <w:szCs w:val="22"/>
        </w:rPr>
        <w:t xml:space="preserve">Georgina Smit, Head of Technical, GBCSA  </w:t>
      </w:r>
    </w:p>
    <w:p w14:paraId="5C836BA0" w14:textId="77777777" w:rsidR="00B80F7F" w:rsidRPr="00FE7C56" w:rsidRDefault="00B80F7F" w:rsidP="00A40692">
      <w:pPr>
        <w:spacing w:after="120" w:line="264" w:lineRule="auto"/>
        <w:jc w:val="both"/>
        <w:rPr>
          <w:rFonts w:ascii="Roboto" w:hAnsi="Roboto" w:cstheme="minorHAnsi"/>
          <w:sz w:val="22"/>
          <w:szCs w:val="22"/>
        </w:rPr>
      </w:pPr>
    </w:p>
    <w:p w14:paraId="4A0BBE88" w14:textId="3A035369" w:rsidR="00A40692" w:rsidRPr="00FE7C56" w:rsidRDefault="00A40692" w:rsidP="00A40692">
      <w:pPr>
        <w:spacing w:after="120" w:line="264" w:lineRule="auto"/>
        <w:jc w:val="both"/>
        <w:rPr>
          <w:rFonts w:ascii="Roboto" w:eastAsiaTheme="minorHAnsi" w:hAnsi="Roboto" w:cstheme="minorHAnsi"/>
          <w:b/>
          <w:bCs/>
          <w:sz w:val="22"/>
          <w:szCs w:val="22"/>
        </w:rPr>
      </w:pPr>
      <w:r w:rsidRPr="00FE7C56">
        <w:rPr>
          <w:rFonts w:ascii="Roboto" w:hAnsi="Roboto" w:cstheme="minorHAnsi"/>
          <w:b/>
          <w:bCs/>
        </w:rPr>
        <w:t>2024 was another year of outperformance for green certified property</w:t>
      </w:r>
    </w:p>
    <w:p w14:paraId="00CCF9EC" w14:textId="7112CEC6" w:rsidR="0083062D" w:rsidRPr="00FE7C56" w:rsidRDefault="0083062D" w:rsidP="0083062D">
      <w:pPr>
        <w:spacing w:after="120" w:line="264" w:lineRule="auto"/>
        <w:jc w:val="both"/>
        <w:rPr>
          <w:rFonts w:ascii="Roboto" w:hAnsi="Roboto" w:cstheme="minorHAnsi"/>
          <w:sz w:val="22"/>
          <w:szCs w:val="22"/>
        </w:rPr>
      </w:pPr>
      <w:r w:rsidRPr="00FE7C56">
        <w:rPr>
          <w:rFonts w:ascii="Roboto" w:hAnsi="Roboto" w:cstheme="minorHAnsi"/>
          <w:sz w:val="22"/>
          <w:szCs w:val="22"/>
        </w:rPr>
        <w:t xml:space="preserve">This outperformance </w:t>
      </w:r>
      <w:r w:rsidR="00491D48" w:rsidRPr="00FE7C56">
        <w:rPr>
          <w:rFonts w:ascii="Roboto" w:hAnsi="Roboto" w:cstheme="minorHAnsi"/>
          <w:sz w:val="22"/>
          <w:szCs w:val="22"/>
        </w:rPr>
        <w:t xml:space="preserve">of green-certified Prime and A-grade offices </w:t>
      </w:r>
      <w:r w:rsidRPr="00FE7C56">
        <w:rPr>
          <w:rFonts w:ascii="Roboto" w:hAnsi="Roboto" w:cstheme="minorHAnsi"/>
          <w:sz w:val="22"/>
          <w:szCs w:val="22"/>
        </w:rPr>
        <w:t>was driven by a higher capital growth on the back of a 34% higher gross income per square meter</w:t>
      </w:r>
      <w:r w:rsidR="00ED50C3" w:rsidRPr="00FE7C56">
        <w:rPr>
          <w:rFonts w:ascii="Roboto" w:hAnsi="Roboto" w:cstheme="minorHAnsi"/>
          <w:sz w:val="22"/>
          <w:szCs w:val="22"/>
        </w:rPr>
        <w:t>, a significantly lower operating cost to income ratio</w:t>
      </w:r>
      <w:r w:rsidR="006248D6" w:rsidRPr="00FE7C56">
        <w:rPr>
          <w:rFonts w:ascii="Roboto" w:hAnsi="Roboto" w:cstheme="minorHAnsi"/>
          <w:sz w:val="22"/>
          <w:szCs w:val="22"/>
        </w:rPr>
        <w:t xml:space="preserve"> (39% vs 46%)</w:t>
      </w:r>
      <w:r w:rsidRPr="00FE7C56">
        <w:rPr>
          <w:rFonts w:ascii="Roboto" w:hAnsi="Roboto" w:cstheme="minorHAnsi"/>
          <w:sz w:val="22"/>
          <w:szCs w:val="22"/>
        </w:rPr>
        <w:t xml:space="preserve"> and a 30bp lower capitalisation rate.</w:t>
      </w:r>
    </w:p>
    <w:p w14:paraId="2D0DF876" w14:textId="57F0B0A9" w:rsidR="009002ED" w:rsidRPr="00FE7C56" w:rsidRDefault="00C3142F" w:rsidP="00166028">
      <w:pPr>
        <w:spacing w:after="120" w:line="264" w:lineRule="auto"/>
        <w:jc w:val="both"/>
        <w:rPr>
          <w:rFonts w:ascii="Roboto" w:hAnsi="Roboto" w:cstheme="minorHAnsi"/>
          <w:sz w:val="22"/>
          <w:szCs w:val="22"/>
        </w:rPr>
      </w:pPr>
      <w:r w:rsidRPr="00FE7C56">
        <w:rPr>
          <w:rFonts w:ascii="Roboto" w:hAnsi="Roboto" w:cstheme="minorHAnsi"/>
          <w:sz w:val="22"/>
          <w:szCs w:val="22"/>
        </w:rPr>
        <w:t>For green certified retail property</w:t>
      </w:r>
      <w:r w:rsidR="005838DF" w:rsidRPr="00FE7C56">
        <w:rPr>
          <w:rFonts w:ascii="Roboto" w:hAnsi="Roboto" w:cstheme="minorHAnsi"/>
          <w:sz w:val="22"/>
          <w:szCs w:val="22"/>
        </w:rPr>
        <w:t>, the outperformance was similar in 2024</w:t>
      </w:r>
      <w:r w:rsidR="0083062D" w:rsidRPr="00FE7C56">
        <w:rPr>
          <w:rFonts w:ascii="Roboto" w:hAnsi="Roboto" w:cstheme="minorHAnsi"/>
          <w:sz w:val="22"/>
          <w:szCs w:val="22"/>
        </w:rPr>
        <w:t>. Green certified retail property delivered a total return of 13.2%</w:t>
      </w:r>
      <w:r w:rsidR="005911A3" w:rsidRPr="00FE7C56">
        <w:rPr>
          <w:rFonts w:ascii="Roboto" w:hAnsi="Roboto" w:cstheme="minorHAnsi"/>
          <w:sz w:val="22"/>
          <w:szCs w:val="22"/>
        </w:rPr>
        <w:t>, 130bps higher than that of non-</w:t>
      </w:r>
      <w:r w:rsidR="00766D61" w:rsidRPr="00FE7C56">
        <w:rPr>
          <w:rFonts w:ascii="Roboto" w:hAnsi="Roboto" w:cstheme="minorHAnsi"/>
          <w:sz w:val="22"/>
          <w:szCs w:val="22"/>
        </w:rPr>
        <w:t>certified</w:t>
      </w:r>
      <w:r w:rsidR="005911A3" w:rsidRPr="00FE7C56">
        <w:rPr>
          <w:rFonts w:ascii="Roboto" w:hAnsi="Roboto" w:cstheme="minorHAnsi"/>
          <w:sz w:val="22"/>
          <w:szCs w:val="22"/>
        </w:rPr>
        <w:t xml:space="preserve"> retail with the outperformance driven by </w:t>
      </w:r>
      <w:r w:rsidR="00CC4138" w:rsidRPr="00FE7C56">
        <w:rPr>
          <w:rFonts w:ascii="Roboto" w:hAnsi="Roboto" w:cstheme="minorHAnsi"/>
          <w:sz w:val="22"/>
          <w:szCs w:val="22"/>
        </w:rPr>
        <w:t>an</w:t>
      </w:r>
      <w:r w:rsidR="005911A3" w:rsidRPr="00FE7C56">
        <w:rPr>
          <w:rFonts w:ascii="Roboto" w:hAnsi="Roboto" w:cstheme="minorHAnsi"/>
          <w:sz w:val="22"/>
          <w:szCs w:val="22"/>
        </w:rPr>
        <w:t xml:space="preserve"> </w:t>
      </w:r>
      <w:r w:rsidR="00404492" w:rsidRPr="00FE7C56">
        <w:rPr>
          <w:rFonts w:ascii="Roboto" w:hAnsi="Roboto" w:cstheme="minorHAnsi"/>
          <w:sz w:val="22"/>
          <w:szCs w:val="22"/>
        </w:rPr>
        <w:t>80bp lower capitalisation rate and a 18% higher net operating income per square meter.</w:t>
      </w:r>
      <w:r w:rsidR="00A01256" w:rsidRPr="00FE7C56">
        <w:rPr>
          <w:rFonts w:ascii="Roboto" w:hAnsi="Roboto" w:cstheme="minorHAnsi"/>
          <w:sz w:val="22"/>
          <w:szCs w:val="22"/>
        </w:rPr>
        <w:t xml:space="preserve"> </w:t>
      </w:r>
      <w:proofErr w:type="gramStart"/>
      <w:r w:rsidR="00A01256" w:rsidRPr="00FE7C56">
        <w:rPr>
          <w:rFonts w:ascii="Roboto" w:hAnsi="Roboto" w:cstheme="minorHAnsi"/>
          <w:sz w:val="22"/>
          <w:szCs w:val="22"/>
        </w:rPr>
        <w:t>Similar to</w:t>
      </w:r>
      <w:proofErr w:type="gramEnd"/>
      <w:r w:rsidR="00A01256" w:rsidRPr="00FE7C56">
        <w:rPr>
          <w:rFonts w:ascii="Roboto" w:hAnsi="Roboto" w:cstheme="minorHAnsi"/>
          <w:sz w:val="22"/>
          <w:szCs w:val="22"/>
        </w:rPr>
        <w:t xml:space="preserve"> the green office sample, certified retail properties also boasted a lower cost to income ratio of 41% compared to the 44% of its non-certified peers.</w:t>
      </w:r>
    </w:p>
    <w:p w14:paraId="7FDACB43" w14:textId="25A4C219" w:rsidR="002D1990" w:rsidRPr="00FE7C56" w:rsidRDefault="00B67627" w:rsidP="00056524">
      <w:pPr>
        <w:spacing w:after="120" w:line="264" w:lineRule="auto"/>
        <w:jc w:val="both"/>
        <w:rPr>
          <w:rFonts w:ascii="Roboto" w:hAnsi="Roboto" w:cstheme="minorHAnsi"/>
          <w:sz w:val="22"/>
          <w:szCs w:val="22"/>
        </w:rPr>
      </w:pPr>
      <w:r w:rsidRPr="00FE7C56">
        <w:rPr>
          <w:rFonts w:ascii="Roboto" w:hAnsi="Roboto" w:cstheme="minorHAnsi"/>
          <w:sz w:val="22"/>
          <w:szCs w:val="22"/>
        </w:rPr>
        <w:lastRenderedPageBreak/>
        <w:t xml:space="preserve">Green certified offices </w:t>
      </w:r>
      <w:r w:rsidR="00670C35" w:rsidRPr="00FE7C56">
        <w:rPr>
          <w:rFonts w:ascii="Roboto" w:hAnsi="Roboto" w:cstheme="minorHAnsi"/>
          <w:sz w:val="22"/>
          <w:szCs w:val="22"/>
        </w:rPr>
        <w:t>also had</w:t>
      </w:r>
      <w:r w:rsidR="00056524" w:rsidRPr="00FE7C56">
        <w:rPr>
          <w:rFonts w:ascii="Roboto" w:hAnsi="Roboto" w:cstheme="minorHAnsi"/>
          <w:sz w:val="22"/>
          <w:szCs w:val="22"/>
        </w:rPr>
        <w:t xml:space="preserve"> a lower discount rate</w:t>
      </w:r>
      <w:r w:rsidR="00290ECD" w:rsidRPr="00FE7C56">
        <w:rPr>
          <w:rFonts w:ascii="Roboto" w:hAnsi="Roboto" w:cstheme="minorHAnsi"/>
          <w:sz w:val="22"/>
          <w:szCs w:val="22"/>
        </w:rPr>
        <w:t>, driven in part by a lower vacancy rate (11.1% vs 14.8% for non- Green certified prime and A-grade offices)</w:t>
      </w:r>
      <w:r w:rsidR="00056524" w:rsidRPr="00FE7C56">
        <w:rPr>
          <w:rFonts w:ascii="Roboto" w:hAnsi="Roboto" w:cstheme="minorHAnsi"/>
          <w:sz w:val="22"/>
          <w:szCs w:val="22"/>
        </w:rPr>
        <w:t xml:space="preserve"> </w:t>
      </w:r>
      <w:r w:rsidR="002D1990" w:rsidRPr="00FE7C56">
        <w:rPr>
          <w:rFonts w:ascii="Roboto" w:hAnsi="Roboto" w:cstheme="minorHAnsi"/>
          <w:sz w:val="22"/>
          <w:szCs w:val="22"/>
        </w:rPr>
        <w:t>–</w:t>
      </w:r>
      <w:r w:rsidR="00056524" w:rsidRPr="00FE7C56">
        <w:rPr>
          <w:rFonts w:ascii="Roboto" w:hAnsi="Roboto" w:cstheme="minorHAnsi"/>
          <w:sz w:val="22"/>
          <w:szCs w:val="22"/>
        </w:rPr>
        <w:t xml:space="preserve"> </w:t>
      </w:r>
      <w:r w:rsidR="002D1990" w:rsidRPr="00FE7C56">
        <w:rPr>
          <w:rFonts w:ascii="Roboto" w:hAnsi="Roboto" w:cstheme="minorHAnsi"/>
          <w:sz w:val="22"/>
          <w:szCs w:val="22"/>
        </w:rPr>
        <w:t xml:space="preserve">reinforcing the premium </w:t>
      </w:r>
      <w:r w:rsidR="0088503F" w:rsidRPr="00FE7C56">
        <w:rPr>
          <w:rFonts w:ascii="Roboto" w:hAnsi="Roboto" w:cstheme="minorHAnsi"/>
          <w:sz w:val="22"/>
          <w:szCs w:val="22"/>
        </w:rPr>
        <w:t>placed on green office accommodation by occupiers and valuers alike.</w:t>
      </w:r>
    </w:p>
    <w:p w14:paraId="29FFF7F1" w14:textId="77777777" w:rsidR="003B62D4" w:rsidRPr="00FE7C56" w:rsidRDefault="003B62D4" w:rsidP="00D3596A">
      <w:pPr>
        <w:spacing w:after="120" w:line="264" w:lineRule="auto"/>
        <w:jc w:val="both"/>
        <w:rPr>
          <w:rFonts w:ascii="Roboto" w:hAnsi="Roboto" w:cstheme="minorHAnsi"/>
          <w:sz w:val="22"/>
          <w:szCs w:val="22"/>
        </w:rPr>
      </w:pPr>
    </w:p>
    <w:p w14:paraId="612183B6" w14:textId="28AB452F" w:rsidR="00225065" w:rsidRPr="00FE7C56" w:rsidRDefault="000751B7" w:rsidP="00B04166">
      <w:pPr>
        <w:spacing w:after="120" w:line="264" w:lineRule="auto"/>
        <w:jc w:val="both"/>
        <w:rPr>
          <w:rFonts w:ascii="Roboto" w:eastAsiaTheme="minorHAnsi" w:hAnsi="Roboto" w:cstheme="minorHAnsi"/>
          <w:b/>
          <w:bCs/>
          <w:sz w:val="22"/>
          <w:szCs w:val="22"/>
        </w:rPr>
      </w:pPr>
      <w:r w:rsidRPr="00FE7C56">
        <w:rPr>
          <w:rFonts w:ascii="Roboto" w:hAnsi="Roboto" w:cstheme="minorHAnsi"/>
          <w:b/>
          <w:bCs/>
        </w:rPr>
        <w:t xml:space="preserve">Long term </w:t>
      </w:r>
      <w:r w:rsidR="00441EF1" w:rsidRPr="00FE7C56">
        <w:rPr>
          <w:rFonts w:ascii="Roboto" w:hAnsi="Roboto" w:cstheme="minorHAnsi"/>
          <w:b/>
          <w:bCs/>
        </w:rPr>
        <w:t>outperformance</w:t>
      </w:r>
    </w:p>
    <w:p w14:paraId="55FA6567" w14:textId="35C4DE51" w:rsidR="001C7D58" w:rsidRPr="00FE7C56" w:rsidRDefault="00C212F5" w:rsidP="00C212F5">
      <w:pPr>
        <w:spacing w:after="120" w:line="264" w:lineRule="auto"/>
        <w:jc w:val="both"/>
        <w:rPr>
          <w:rFonts w:ascii="Roboto" w:hAnsi="Roboto" w:cstheme="minorHAnsi"/>
          <w:sz w:val="22"/>
          <w:szCs w:val="22"/>
        </w:rPr>
      </w:pPr>
      <w:r w:rsidRPr="00FE7C56">
        <w:rPr>
          <w:rFonts w:ascii="Roboto" w:hAnsi="Roboto" w:cstheme="minorHAnsi"/>
          <w:sz w:val="22"/>
          <w:szCs w:val="22"/>
        </w:rPr>
        <w:t>Since the index’s inception in 2016, prime and A-grade green-certified offices have consistently delivered stronger capital growth than non-certified office properties</w:t>
      </w:r>
      <w:r w:rsidR="00EC0B41" w:rsidRPr="00FE7C56">
        <w:rPr>
          <w:rFonts w:ascii="Roboto" w:hAnsi="Roboto" w:cstheme="minorHAnsi"/>
          <w:sz w:val="22"/>
          <w:szCs w:val="22"/>
        </w:rPr>
        <w:t xml:space="preserve"> each year</w:t>
      </w:r>
      <w:r w:rsidRPr="00FE7C56">
        <w:rPr>
          <w:rFonts w:ascii="Roboto" w:hAnsi="Roboto" w:cstheme="minorHAnsi"/>
          <w:sz w:val="22"/>
          <w:szCs w:val="22"/>
        </w:rPr>
        <w:t xml:space="preserve">, underscoring the resilience and value proposition of sustainable buildings. </w:t>
      </w:r>
      <w:r w:rsidR="00EC0B41" w:rsidRPr="00FE7C56">
        <w:rPr>
          <w:rFonts w:ascii="Roboto" w:hAnsi="Roboto" w:cstheme="minorHAnsi"/>
          <w:sz w:val="22"/>
          <w:szCs w:val="22"/>
        </w:rPr>
        <w:t xml:space="preserve">Green-certified office assets have outperformed their-noncertified counterparts by a cumulative 28.2%. </w:t>
      </w:r>
    </w:p>
    <w:p w14:paraId="43A0D97C" w14:textId="48FBFF6F" w:rsidR="00B30F1D" w:rsidRPr="00FE7C56" w:rsidRDefault="00B30F1D" w:rsidP="00C212F5">
      <w:pPr>
        <w:spacing w:after="120" w:line="264" w:lineRule="auto"/>
        <w:jc w:val="both"/>
        <w:rPr>
          <w:rFonts w:ascii="Roboto" w:hAnsi="Roboto" w:cstheme="minorHAnsi"/>
          <w:sz w:val="22"/>
          <w:szCs w:val="22"/>
        </w:rPr>
      </w:pPr>
      <w:r w:rsidRPr="00FE7C56">
        <w:rPr>
          <w:rFonts w:ascii="Roboto" w:hAnsi="Roboto" w:cstheme="minorHAnsi"/>
          <w:sz w:val="22"/>
          <w:szCs w:val="22"/>
        </w:rPr>
        <w:t>While the office sector has led the way in the adoption of green certification, the performance advantage is becoming increasingly evident in the retail segment as well—where a similar return differential emerged in 2024, signalling broader market recognition of the investment benefits of sustainable real estate</w:t>
      </w:r>
      <w:r w:rsidRPr="00FE7C56">
        <w:rPr>
          <w:rFonts w:ascii="Roboto" w:hAnsi="Roboto" w:cstheme="minorHAnsi"/>
          <w:i/>
          <w:iCs/>
          <w:sz w:val="22"/>
          <w:szCs w:val="22"/>
        </w:rPr>
        <w:t>,</w:t>
      </w:r>
    </w:p>
    <w:p w14:paraId="55962E98" w14:textId="103A7DB8" w:rsidR="00B30F1D" w:rsidRPr="00FE7C56" w:rsidRDefault="00491D48" w:rsidP="0041350D">
      <w:pPr>
        <w:spacing w:after="120" w:line="264" w:lineRule="auto"/>
        <w:jc w:val="both"/>
        <w:rPr>
          <w:rFonts w:ascii="Roboto" w:hAnsi="Roboto" w:cstheme="minorHAnsi"/>
          <w:i/>
          <w:iCs/>
          <w:sz w:val="22"/>
          <w:szCs w:val="22"/>
        </w:rPr>
      </w:pPr>
      <w:r w:rsidRPr="0041350D">
        <w:rPr>
          <w:rFonts w:ascii="Roboto" w:hAnsi="Roboto" w:cstheme="minorHAnsi"/>
          <w:i/>
          <w:iCs/>
          <w:sz w:val="22"/>
          <w:szCs w:val="22"/>
        </w:rPr>
        <w:t>“</w:t>
      </w:r>
      <w:r w:rsidR="0041350D" w:rsidRPr="0041350D">
        <w:rPr>
          <w:rFonts w:ascii="Roboto" w:hAnsi="Roboto" w:cstheme="minorHAnsi"/>
          <w:i/>
          <w:iCs/>
          <w:sz w:val="22"/>
          <w:szCs w:val="22"/>
          <w:lang w:val="en-ZA"/>
        </w:rPr>
        <w:t>After nine years of consistent outperformance both on valuations and income, there can be no doubt about the fact that certified properties deliver higher returns to investors. The next step in this journey is to show that certified properties better mitigate Climate Risk and MSCI is well equipped to do that</w:t>
      </w:r>
      <w:r w:rsidR="00EC0B41" w:rsidRPr="0041350D">
        <w:rPr>
          <w:rFonts w:ascii="Roboto" w:hAnsi="Roboto" w:cstheme="minorHAnsi"/>
          <w:i/>
          <w:iCs/>
          <w:sz w:val="22"/>
          <w:szCs w:val="22"/>
        </w:rPr>
        <w:t xml:space="preserve">,” </w:t>
      </w:r>
      <w:r w:rsidR="00EC0B41" w:rsidRPr="0041350D">
        <w:rPr>
          <w:rFonts w:ascii="Roboto" w:hAnsi="Roboto" w:cstheme="minorHAnsi"/>
          <w:sz w:val="22"/>
          <w:szCs w:val="22"/>
        </w:rPr>
        <w:t xml:space="preserve">says </w:t>
      </w:r>
      <w:r w:rsidR="00EC0B41" w:rsidRPr="0041350D">
        <w:rPr>
          <w:rFonts w:ascii="Roboto" w:hAnsi="Roboto" w:cstheme="minorHAnsi"/>
          <w:b/>
          <w:bCs/>
          <w:sz w:val="22"/>
          <w:szCs w:val="22"/>
        </w:rPr>
        <w:t>Eileen Andrew from MSCI.</w:t>
      </w:r>
    </w:p>
    <w:p w14:paraId="506C5455" w14:textId="62130DF9" w:rsidR="00F55B73" w:rsidRPr="00FE7C56" w:rsidRDefault="00F55B73" w:rsidP="00F55B73">
      <w:pPr>
        <w:spacing w:after="120" w:line="264" w:lineRule="auto"/>
        <w:jc w:val="both"/>
        <w:rPr>
          <w:rFonts w:ascii="Roboto" w:hAnsi="Roboto" w:cstheme="minorHAnsi"/>
          <w:i/>
          <w:iCs/>
          <w:sz w:val="22"/>
          <w:szCs w:val="22"/>
        </w:rPr>
      </w:pPr>
      <w:r w:rsidRPr="00FE7C56">
        <w:rPr>
          <w:rFonts w:ascii="Roboto" w:hAnsi="Roboto" w:cstheme="minorHAnsi"/>
          <w:b/>
          <w:bCs/>
          <w:sz w:val="22"/>
          <w:szCs w:val="22"/>
        </w:rPr>
        <w:t xml:space="preserve">Lisa Reynolds, GBCSA CEO, adds, </w:t>
      </w:r>
      <w:r w:rsidRPr="00FE7C56">
        <w:rPr>
          <w:rFonts w:ascii="Roboto" w:hAnsi="Roboto" w:cstheme="minorHAnsi"/>
          <w:b/>
          <w:bCs/>
          <w:i/>
          <w:iCs/>
          <w:sz w:val="22"/>
          <w:szCs w:val="22"/>
        </w:rPr>
        <w:t>“</w:t>
      </w:r>
      <w:r w:rsidRPr="00FE7C56">
        <w:rPr>
          <w:rFonts w:ascii="Roboto" w:hAnsi="Roboto" w:cstheme="minorHAnsi"/>
          <w:i/>
          <w:iCs/>
          <w:sz w:val="22"/>
          <w:szCs w:val="22"/>
        </w:rPr>
        <w:t>Our longstanding partnerships around this index are a deep and a solid real investment into providing the property sector with the data and confidence required to build the investment case for green buildings. For some, the question was “Why should I invest in making my property portfolio green</w:t>
      </w:r>
      <w:r w:rsidR="001B6076">
        <w:rPr>
          <w:rFonts w:ascii="Roboto" w:hAnsi="Roboto" w:cstheme="minorHAnsi"/>
          <w:i/>
          <w:iCs/>
          <w:sz w:val="22"/>
          <w:szCs w:val="22"/>
        </w:rPr>
        <w:t>?”</w:t>
      </w:r>
      <w:r w:rsidRPr="00FE7C56">
        <w:rPr>
          <w:rFonts w:ascii="Roboto" w:hAnsi="Roboto" w:cstheme="minorHAnsi"/>
          <w:i/>
          <w:iCs/>
          <w:sz w:val="22"/>
          <w:szCs w:val="22"/>
        </w:rPr>
        <w:t xml:space="preserve">, now </w:t>
      </w:r>
      <w:r w:rsidR="001B6076">
        <w:rPr>
          <w:rFonts w:ascii="Roboto" w:hAnsi="Roboto" w:cstheme="minorHAnsi"/>
          <w:i/>
          <w:iCs/>
          <w:sz w:val="22"/>
          <w:szCs w:val="22"/>
        </w:rPr>
        <w:t xml:space="preserve">it </w:t>
      </w:r>
      <w:r w:rsidRPr="00FE7C56">
        <w:rPr>
          <w:rFonts w:ascii="Roboto" w:hAnsi="Roboto" w:cstheme="minorHAnsi"/>
          <w:i/>
          <w:iCs/>
          <w:sz w:val="22"/>
          <w:szCs w:val="22"/>
        </w:rPr>
        <w:t xml:space="preserve">becomes, </w:t>
      </w:r>
      <w:r w:rsidR="00097FE4" w:rsidRPr="00FE7C56">
        <w:rPr>
          <w:rFonts w:ascii="Roboto" w:hAnsi="Roboto" w:cstheme="minorHAnsi"/>
          <w:i/>
          <w:iCs/>
          <w:sz w:val="22"/>
          <w:szCs w:val="22"/>
        </w:rPr>
        <w:t>‘</w:t>
      </w:r>
      <w:r w:rsidRPr="00FE7C56">
        <w:rPr>
          <w:rFonts w:ascii="Roboto" w:hAnsi="Roboto" w:cstheme="minorHAnsi"/>
          <w:i/>
          <w:iCs/>
          <w:sz w:val="22"/>
          <w:szCs w:val="22"/>
        </w:rPr>
        <w:t>Why would I NOT invest in green?</w:t>
      </w:r>
      <w:r w:rsidR="00097FE4" w:rsidRPr="00FE7C56">
        <w:rPr>
          <w:rFonts w:ascii="Roboto" w:hAnsi="Roboto" w:cstheme="minorHAnsi"/>
          <w:i/>
          <w:iCs/>
          <w:sz w:val="22"/>
          <w:szCs w:val="22"/>
        </w:rPr>
        <w:t>’.”</w:t>
      </w:r>
    </w:p>
    <w:p w14:paraId="104D3CF3" w14:textId="7432D388" w:rsidR="00B30F1D" w:rsidRPr="00FE7C56" w:rsidRDefault="00B30F1D" w:rsidP="00B30F1D">
      <w:pPr>
        <w:spacing w:after="120" w:line="264" w:lineRule="auto"/>
        <w:jc w:val="both"/>
        <w:rPr>
          <w:rFonts w:ascii="Roboto" w:hAnsi="Roboto" w:cstheme="minorHAnsi"/>
          <w:sz w:val="22"/>
          <w:szCs w:val="22"/>
        </w:rPr>
      </w:pPr>
      <w:r w:rsidRPr="00FE7C56">
        <w:rPr>
          <w:rFonts w:ascii="Roboto" w:hAnsi="Roboto" w:cstheme="minorHAnsi"/>
          <w:sz w:val="22"/>
          <w:szCs w:val="22"/>
        </w:rPr>
        <w:t>As a leader in sustainable commercial property, Growthpoint holds one of South Africa’s largest and most varied portfolios of green-certified buildings. These assets not only lower the company’s carbon footprint but also support long-term climate resilience</w:t>
      </w:r>
      <w:r w:rsidR="001B6076">
        <w:rPr>
          <w:rFonts w:ascii="Roboto" w:hAnsi="Roboto" w:cstheme="minorHAnsi"/>
          <w:sz w:val="22"/>
          <w:szCs w:val="22"/>
        </w:rPr>
        <w:t xml:space="preserve"> </w:t>
      </w:r>
      <w:r w:rsidRPr="00FE7C56">
        <w:rPr>
          <w:rFonts w:ascii="Roboto" w:hAnsi="Roboto" w:cstheme="minorHAnsi"/>
          <w:sz w:val="22"/>
          <w:szCs w:val="22"/>
        </w:rPr>
        <w:t>central to its ESG strategy. With a clear goal to reach carbon neutrality across its portfolio by 2050, Growthpoint continues to lead in sustainable real estate.</w:t>
      </w:r>
    </w:p>
    <w:p w14:paraId="1DD9EE63" w14:textId="60FB8CFA" w:rsidR="00491D48" w:rsidRPr="00FE7C56" w:rsidRDefault="00B30F1D" w:rsidP="00C212F5">
      <w:pPr>
        <w:spacing w:after="120" w:line="264" w:lineRule="auto"/>
        <w:jc w:val="both"/>
        <w:rPr>
          <w:rFonts w:ascii="Roboto" w:hAnsi="Roboto" w:cstheme="minorHAnsi"/>
          <w:sz w:val="22"/>
          <w:szCs w:val="22"/>
        </w:rPr>
      </w:pPr>
      <w:r w:rsidRPr="00FE7C56">
        <w:rPr>
          <w:rFonts w:ascii="Roboto" w:hAnsi="Roboto" w:cstheme="minorHAnsi"/>
          <w:sz w:val="22"/>
          <w:szCs w:val="22"/>
        </w:rPr>
        <w:t xml:space="preserve">Chief Operating Officer Engelbert Binedell says data from MSCI and the GBCSA is key to shaping Growthpoint’s approach. </w:t>
      </w:r>
      <w:r w:rsidRPr="00FE7C56">
        <w:rPr>
          <w:rFonts w:ascii="Roboto" w:hAnsi="Roboto" w:cstheme="minorHAnsi"/>
          <w:i/>
          <w:iCs/>
          <w:sz w:val="22"/>
          <w:szCs w:val="22"/>
        </w:rPr>
        <w:t>“We use this data to benchmark performance, refine energy and net-zero targets, and realise the full financial and environmental value of green certification.</w:t>
      </w:r>
      <w:r w:rsidR="001B6076">
        <w:rPr>
          <w:rFonts w:ascii="Roboto" w:hAnsi="Roboto" w:cstheme="minorHAnsi"/>
          <w:i/>
          <w:iCs/>
          <w:sz w:val="22"/>
          <w:szCs w:val="22"/>
        </w:rPr>
        <w:t xml:space="preserve"> </w:t>
      </w:r>
      <w:r w:rsidRPr="00FE7C56">
        <w:rPr>
          <w:rFonts w:ascii="Roboto" w:hAnsi="Roboto" w:cstheme="minorHAnsi"/>
          <w:i/>
          <w:iCs/>
          <w:sz w:val="22"/>
          <w:szCs w:val="22"/>
        </w:rPr>
        <w:t>This data-driven strategy ensures steady progress while meeting the expectations of investors, tenants and society for a low-carbon future.</w:t>
      </w:r>
      <w:r w:rsidR="001B6076">
        <w:rPr>
          <w:rFonts w:ascii="Roboto" w:hAnsi="Roboto" w:cstheme="minorHAnsi"/>
          <w:i/>
          <w:iCs/>
          <w:sz w:val="22"/>
          <w:szCs w:val="22"/>
        </w:rPr>
        <w:t>”</w:t>
      </w:r>
    </w:p>
    <w:p w14:paraId="12888D87" w14:textId="176900DA" w:rsidR="0075774D" w:rsidRPr="00FE7C56" w:rsidRDefault="00DD498F" w:rsidP="003601EB">
      <w:pPr>
        <w:spacing w:after="120" w:line="264" w:lineRule="auto"/>
        <w:jc w:val="center"/>
        <w:rPr>
          <w:rFonts w:ascii="Roboto" w:hAnsi="Roboto" w:cstheme="minorHAnsi"/>
          <w:b/>
          <w:bCs/>
          <w:sz w:val="22"/>
          <w:szCs w:val="22"/>
        </w:rPr>
      </w:pPr>
      <w:r w:rsidRPr="00FE7C56">
        <w:rPr>
          <w:rFonts w:ascii="Roboto" w:hAnsi="Roboto" w:cstheme="minorHAnsi"/>
          <w:b/>
          <w:bCs/>
          <w:sz w:val="22"/>
          <w:szCs w:val="22"/>
        </w:rPr>
        <w:t>…</w:t>
      </w:r>
      <w:r w:rsidR="005150DC" w:rsidRPr="00FE7C56">
        <w:rPr>
          <w:rFonts w:ascii="Roboto" w:hAnsi="Roboto" w:cstheme="minorHAnsi"/>
          <w:b/>
          <w:bCs/>
          <w:sz w:val="22"/>
          <w:szCs w:val="22"/>
        </w:rPr>
        <w:t>/ends</w:t>
      </w:r>
    </w:p>
    <w:p w14:paraId="34CA55DB" w14:textId="77777777" w:rsidR="004E3062" w:rsidRPr="00FE7C56" w:rsidRDefault="004E3062" w:rsidP="00C212F5">
      <w:pPr>
        <w:spacing w:after="120" w:line="264" w:lineRule="auto"/>
        <w:jc w:val="both"/>
        <w:rPr>
          <w:rFonts w:ascii="Roboto" w:hAnsi="Roboto" w:cstheme="minorHAnsi"/>
          <w:b/>
          <w:bCs/>
          <w:sz w:val="22"/>
          <w:szCs w:val="22"/>
        </w:rPr>
      </w:pPr>
    </w:p>
    <w:p w14:paraId="2A905F8A" w14:textId="423714AD" w:rsidR="00D3480E" w:rsidRPr="00FE7C56" w:rsidRDefault="00D3480E" w:rsidP="00D3480E">
      <w:pPr>
        <w:spacing w:after="120" w:line="264" w:lineRule="auto"/>
        <w:rPr>
          <w:rFonts w:ascii="Roboto" w:hAnsi="Roboto" w:cstheme="minorHAnsi"/>
          <w:sz w:val="22"/>
          <w:szCs w:val="22"/>
        </w:rPr>
      </w:pPr>
      <w:r w:rsidRPr="003D0BFC">
        <w:rPr>
          <w:rFonts w:ascii="Roboto" w:hAnsi="Roboto" w:cstheme="minorHAnsi"/>
          <w:b/>
          <w:bCs/>
          <w:sz w:val="22"/>
          <w:szCs w:val="22"/>
        </w:rPr>
        <w:t xml:space="preserve">Image caption: </w:t>
      </w:r>
      <w:proofErr w:type="spellStart"/>
      <w:r w:rsidR="00D32D10" w:rsidRPr="00D32D10">
        <w:rPr>
          <w:rFonts w:ascii="Roboto" w:hAnsi="Roboto" w:cstheme="minorHAnsi"/>
          <w:sz w:val="22"/>
          <w:szCs w:val="22"/>
        </w:rPr>
        <w:t>Longkloof</w:t>
      </w:r>
      <w:proofErr w:type="spellEnd"/>
      <w:r w:rsidR="00D32D10" w:rsidRPr="00D32D10">
        <w:rPr>
          <w:rFonts w:ascii="Roboto" w:hAnsi="Roboto" w:cstheme="minorHAnsi"/>
          <w:sz w:val="22"/>
          <w:szCs w:val="22"/>
        </w:rPr>
        <w:t xml:space="preserve"> - Growthpoint Properties owned, 4-Star Green Star Existing Building Performance v1.1 rated, Prime, A-Grade offices in Gardens, Cape Town.</w:t>
      </w:r>
    </w:p>
    <w:p w14:paraId="6A64A4AB" w14:textId="77777777" w:rsidR="005150DC" w:rsidRPr="0081344F" w:rsidRDefault="005150DC" w:rsidP="005150DC">
      <w:pPr>
        <w:pStyle w:val="NormalWeb"/>
        <w:rPr>
          <w:rFonts w:ascii="Roboto" w:eastAsiaTheme="minorEastAsia" w:hAnsi="Roboto" w:cstheme="minorHAnsi"/>
          <w:sz w:val="18"/>
          <w:szCs w:val="18"/>
          <w:lang w:val="en-GB" w:eastAsia="en-US"/>
        </w:rPr>
      </w:pPr>
      <w:r w:rsidRPr="0081344F">
        <w:rPr>
          <w:rFonts w:ascii="Roboto" w:eastAsiaTheme="minorEastAsia" w:hAnsi="Roboto" w:cstheme="minorHAnsi"/>
          <w:b/>
          <w:bCs/>
          <w:sz w:val="18"/>
          <w:szCs w:val="18"/>
          <w:lang w:val="en-GB" w:eastAsia="en-US"/>
        </w:rPr>
        <w:t>ABOUT GROWTHPOINT PROPERTIES:</w:t>
      </w:r>
    </w:p>
    <w:p w14:paraId="3CD8F1FC" w14:textId="0F87FAE6" w:rsidR="003601EB" w:rsidRPr="0081344F" w:rsidRDefault="00DD498F" w:rsidP="00FE7C56">
      <w:pPr>
        <w:spacing w:after="200"/>
        <w:jc w:val="both"/>
        <w:rPr>
          <w:rFonts w:ascii="Roboto" w:hAnsi="Roboto" w:cstheme="minorHAnsi"/>
          <w:sz w:val="18"/>
          <w:szCs w:val="18"/>
        </w:rPr>
      </w:pPr>
      <w:r w:rsidRPr="0081344F">
        <w:rPr>
          <w:rFonts w:ascii="Roboto" w:hAnsi="Roboto" w:cstheme="minorHAnsi"/>
          <w:sz w:val="18"/>
          <w:szCs w:val="18"/>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w:t>
      </w:r>
      <w:r w:rsidRPr="0081344F">
        <w:rPr>
          <w:rFonts w:ascii="Roboto" w:hAnsi="Roboto" w:cstheme="minorHAnsi"/>
          <w:sz w:val="18"/>
          <w:szCs w:val="18"/>
        </w:rPr>
        <w:lastRenderedPageBreak/>
        <w:t>in South Africa and across the African continent, Australia, the UK and Eastern Europe. Growthpoint is at the forefront of environmental innovation in the property sector in South Africa</w:t>
      </w:r>
      <w:r w:rsidR="003601EB" w:rsidRPr="0081344F">
        <w:rPr>
          <w:rFonts w:ascii="Roboto" w:hAnsi="Roboto" w:cstheme="minorHAnsi"/>
          <w:sz w:val="18"/>
          <w:szCs w:val="18"/>
        </w:rPr>
        <w:t>. Visit</w:t>
      </w:r>
      <w:r w:rsidRPr="0081344F">
        <w:rPr>
          <w:rFonts w:ascii="Roboto" w:hAnsi="Roboto" w:cstheme="minorHAnsi"/>
          <w:sz w:val="18"/>
          <w:szCs w:val="18"/>
        </w:rPr>
        <w:t> </w:t>
      </w:r>
      <w:hyperlink r:id="rId10" w:history="1">
        <w:r w:rsidRPr="0081344F">
          <w:rPr>
            <w:rStyle w:val="Hyperlink"/>
            <w:rFonts w:ascii="Roboto" w:hAnsi="Roboto" w:cstheme="minorHAnsi"/>
            <w:sz w:val="18"/>
            <w:szCs w:val="18"/>
          </w:rPr>
          <w:t>growthpoint.co.za</w:t>
        </w:r>
      </w:hyperlink>
      <w:r w:rsidRPr="0081344F">
        <w:rPr>
          <w:rFonts w:ascii="Roboto" w:hAnsi="Roboto" w:cstheme="minorHAnsi"/>
          <w:sz w:val="18"/>
          <w:szCs w:val="18"/>
        </w:rPr>
        <w:t> </w:t>
      </w:r>
      <w:r w:rsidR="003601EB" w:rsidRPr="0081344F">
        <w:rPr>
          <w:rFonts w:ascii="Roboto" w:hAnsi="Roboto" w:cstheme="minorHAnsi"/>
          <w:sz w:val="18"/>
          <w:szCs w:val="18"/>
        </w:rPr>
        <w:t>to learn more.</w:t>
      </w:r>
    </w:p>
    <w:p w14:paraId="778F19EB" w14:textId="6D6334B8" w:rsidR="000614D7" w:rsidRPr="0081344F" w:rsidRDefault="000614D7" w:rsidP="00FE7C56">
      <w:pPr>
        <w:spacing w:after="200"/>
        <w:rPr>
          <w:rFonts w:ascii="Roboto" w:hAnsi="Roboto" w:cstheme="minorHAnsi"/>
          <w:b/>
          <w:bCs/>
          <w:sz w:val="18"/>
          <w:szCs w:val="18"/>
        </w:rPr>
      </w:pPr>
      <w:r w:rsidRPr="0081344F">
        <w:rPr>
          <w:rFonts w:ascii="Roboto" w:hAnsi="Roboto" w:cstheme="minorHAnsi"/>
          <w:b/>
          <w:bCs/>
          <w:sz w:val="18"/>
          <w:szCs w:val="18"/>
        </w:rPr>
        <w:t>A</w:t>
      </w:r>
      <w:r w:rsidR="005A5C66" w:rsidRPr="0081344F">
        <w:rPr>
          <w:rFonts w:ascii="Roboto" w:hAnsi="Roboto" w:cstheme="minorHAnsi"/>
          <w:b/>
          <w:bCs/>
          <w:sz w:val="18"/>
          <w:szCs w:val="18"/>
        </w:rPr>
        <w:t>BOUT</w:t>
      </w:r>
      <w:r w:rsidRPr="0081344F">
        <w:rPr>
          <w:rFonts w:ascii="Roboto" w:hAnsi="Roboto" w:cstheme="minorHAnsi"/>
          <w:b/>
          <w:bCs/>
          <w:sz w:val="18"/>
          <w:szCs w:val="18"/>
        </w:rPr>
        <w:t xml:space="preserve"> MSCI</w:t>
      </w:r>
      <w:r w:rsidR="005A5C66" w:rsidRPr="0081344F">
        <w:rPr>
          <w:rFonts w:ascii="Roboto" w:hAnsi="Roboto" w:cstheme="minorHAnsi"/>
          <w:b/>
          <w:bCs/>
          <w:sz w:val="18"/>
          <w:szCs w:val="18"/>
        </w:rPr>
        <w:t>:</w:t>
      </w:r>
    </w:p>
    <w:p w14:paraId="716C6711" w14:textId="01B13C42" w:rsidR="003F1481" w:rsidRPr="0081344F" w:rsidRDefault="00F87750" w:rsidP="00FE7C56">
      <w:pPr>
        <w:jc w:val="both"/>
        <w:rPr>
          <w:rFonts w:ascii="Roboto" w:hAnsi="Roboto" w:cstheme="minorHAnsi"/>
          <w:sz w:val="18"/>
          <w:szCs w:val="18"/>
        </w:rPr>
      </w:pPr>
      <w:r w:rsidRPr="0081344F">
        <w:rPr>
          <w:rFonts w:ascii="Roboto" w:hAnsi="Roboto" w:cstheme="minorHAnsi"/>
          <w:sz w:val="18"/>
          <w:szCs w:val="18"/>
        </w:rPr>
        <w:t xml:space="preserve">MSCI is a leading provider of critical decision support tools and services for the global investment community. With over 50 years of expertise in research, data and technology, we power better investment decisions by enabling clients to understand and </w:t>
      </w:r>
      <w:r w:rsidR="00097FE4" w:rsidRPr="0081344F">
        <w:rPr>
          <w:rFonts w:ascii="Roboto" w:hAnsi="Roboto" w:cstheme="minorHAnsi"/>
          <w:sz w:val="18"/>
          <w:szCs w:val="18"/>
        </w:rPr>
        <w:t xml:space="preserve">analyse </w:t>
      </w:r>
      <w:r w:rsidRPr="0081344F">
        <w:rPr>
          <w:rFonts w:ascii="Roboto" w:hAnsi="Roboto" w:cstheme="minorHAnsi"/>
          <w:sz w:val="18"/>
          <w:szCs w:val="18"/>
        </w:rPr>
        <w:t xml:space="preserve">key drivers of risk and return and confidently build more effective portfolios. We create industry-leading research-enhanced solutions that clients use to gain insight into and improve transparency across the investment process. To learn more, please visit </w:t>
      </w:r>
      <w:hyperlink r:id="rId11" w:history="1">
        <w:r w:rsidRPr="0081344F">
          <w:rPr>
            <w:rStyle w:val="Hyperlink"/>
            <w:rFonts w:ascii="Roboto" w:hAnsi="Roboto" w:cstheme="minorHAnsi"/>
            <w:sz w:val="18"/>
            <w:szCs w:val="18"/>
          </w:rPr>
          <w:t>www.msci.com</w:t>
        </w:r>
      </w:hyperlink>
      <w:r w:rsidRPr="0081344F">
        <w:rPr>
          <w:rFonts w:ascii="Roboto" w:hAnsi="Roboto" w:cstheme="minorHAnsi"/>
          <w:sz w:val="18"/>
          <w:szCs w:val="18"/>
        </w:rPr>
        <w:t>.</w:t>
      </w:r>
    </w:p>
    <w:p w14:paraId="2BBD1480" w14:textId="77777777" w:rsidR="00F87750" w:rsidRPr="0081344F" w:rsidRDefault="00F87750" w:rsidP="00FE7C56">
      <w:pPr>
        <w:rPr>
          <w:rFonts w:ascii="Roboto" w:hAnsi="Roboto" w:cstheme="minorHAnsi"/>
          <w:sz w:val="18"/>
          <w:szCs w:val="18"/>
        </w:rPr>
      </w:pPr>
    </w:p>
    <w:p w14:paraId="405A19FC" w14:textId="5AAAED91" w:rsidR="0035209E" w:rsidRPr="0081344F" w:rsidRDefault="005A5C66" w:rsidP="00FE7C56">
      <w:pPr>
        <w:rPr>
          <w:rFonts w:ascii="Roboto" w:hAnsi="Roboto" w:cstheme="minorHAnsi"/>
          <w:b/>
          <w:bCs/>
          <w:sz w:val="18"/>
          <w:szCs w:val="18"/>
        </w:rPr>
      </w:pPr>
      <w:r w:rsidRPr="0081344F">
        <w:rPr>
          <w:rFonts w:ascii="Roboto" w:hAnsi="Roboto" w:cstheme="minorHAnsi"/>
          <w:b/>
          <w:bCs/>
          <w:sz w:val="18"/>
          <w:szCs w:val="18"/>
        </w:rPr>
        <w:t>ABOUT GREEN BUILDING COUNCIL SOUTH AFRICA</w:t>
      </w:r>
      <w:r w:rsidR="0035209E" w:rsidRPr="0081344F">
        <w:rPr>
          <w:rFonts w:ascii="Roboto" w:hAnsi="Roboto" w:cstheme="minorHAnsi"/>
          <w:b/>
          <w:bCs/>
          <w:sz w:val="18"/>
          <w:szCs w:val="18"/>
        </w:rPr>
        <w:t xml:space="preserve"> (GBCSA)</w:t>
      </w:r>
      <w:r w:rsidRPr="0081344F">
        <w:rPr>
          <w:rFonts w:ascii="Roboto" w:hAnsi="Roboto" w:cstheme="minorHAnsi"/>
          <w:b/>
          <w:bCs/>
          <w:sz w:val="18"/>
          <w:szCs w:val="18"/>
        </w:rPr>
        <w:t>:</w:t>
      </w:r>
    </w:p>
    <w:p w14:paraId="5BA3A499" w14:textId="77777777" w:rsidR="0035209E" w:rsidRPr="0081344F" w:rsidRDefault="0035209E" w:rsidP="00FE7C56">
      <w:pPr>
        <w:rPr>
          <w:rFonts w:ascii="Roboto" w:hAnsi="Roboto" w:cstheme="minorHAnsi"/>
          <w:sz w:val="18"/>
          <w:szCs w:val="18"/>
        </w:rPr>
      </w:pPr>
    </w:p>
    <w:p w14:paraId="20C8783A" w14:textId="5E62BF66" w:rsidR="00D31373" w:rsidRPr="0081344F" w:rsidRDefault="00D31373" w:rsidP="00FE7C56">
      <w:pPr>
        <w:spacing w:after="60"/>
        <w:rPr>
          <w:rFonts w:ascii="Roboto" w:eastAsia="Aptos" w:hAnsi="Roboto" w:cs="Aptos"/>
          <w:color w:val="000000" w:themeColor="text1"/>
          <w:sz w:val="18"/>
          <w:szCs w:val="18"/>
        </w:rPr>
      </w:pPr>
      <w:r w:rsidRPr="0081344F">
        <w:rPr>
          <w:rFonts w:ascii="Roboto" w:eastAsia="Aptos" w:hAnsi="Roboto" w:cs="Aptos"/>
          <w:color w:val="000000" w:themeColor="text1"/>
          <w:sz w:val="18"/>
          <w:szCs w:val="18"/>
        </w:rPr>
        <w:t xml:space="preserve">The Green Building Council South Africa (GBCSA) is a member-based organisation focused on transforming the built environment into a place where people and planet thrive. We advocate for all buildings and precincts to be designed, built, and operated in an environmentally sustainable manner. GBCSA provides green building certification and sustainability training for the built environment and all stakeholders within the built environment. GBCSA certifies buildings through the Green Star Africa rating system, which is a localised version of Green Star, as well as Net Zero and EDGE rating systems. Visit our website </w:t>
      </w:r>
      <w:hyperlink r:id="rId12" w:history="1">
        <w:r w:rsidRPr="0081344F">
          <w:rPr>
            <w:rFonts w:ascii="Roboto" w:eastAsia="Aptos" w:hAnsi="Roboto" w:cs="Aptos"/>
            <w:color w:val="000000" w:themeColor="text1"/>
            <w:sz w:val="18"/>
            <w:szCs w:val="18"/>
          </w:rPr>
          <w:t>gbcsa.org.za</w:t>
        </w:r>
      </w:hyperlink>
      <w:r w:rsidRPr="0081344F">
        <w:rPr>
          <w:rFonts w:ascii="Roboto" w:eastAsia="Aptos" w:hAnsi="Roboto" w:cs="Aptos"/>
          <w:color w:val="000000" w:themeColor="text1"/>
          <w:sz w:val="18"/>
          <w:szCs w:val="18"/>
        </w:rPr>
        <w:t xml:space="preserve">. </w:t>
      </w:r>
    </w:p>
    <w:p w14:paraId="507C6A39" w14:textId="77777777" w:rsidR="0035209E" w:rsidRPr="00FE7C56" w:rsidRDefault="0035209E" w:rsidP="0035209E">
      <w:pPr>
        <w:rPr>
          <w:rFonts w:ascii="Roboto" w:hAnsi="Roboto" w:cstheme="minorHAnsi"/>
          <w:sz w:val="22"/>
          <w:szCs w:val="22"/>
        </w:rPr>
      </w:pPr>
    </w:p>
    <w:p w14:paraId="5003FAA0" w14:textId="77777777" w:rsidR="0035209E" w:rsidRPr="00FE7C56" w:rsidRDefault="0035209E" w:rsidP="0035209E">
      <w:pPr>
        <w:rPr>
          <w:rFonts w:ascii="Roboto" w:hAnsi="Roboto" w:cstheme="minorHAnsi"/>
          <w:sz w:val="22"/>
          <w:szCs w:val="22"/>
        </w:rPr>
      </w:pPr>
      <w:r w:rsidRPr="00FE7C56">
        <w:rPr>
          <w:rFonts w:ascii="Roboto" w:hAnsi="Roboto" w:cstheme="minorHAnsi"/>
          <w:sz w:val="22"/>
          <w:szCs w:val="22"/>
        </w:rPr>
        <w:t>Media Enquiries:</w:t>
      </w:r>
    </w:p>
    <w:p w14:paraId="43B2B7DF" w14:textId="77777777" w:rsidR="0035209E" w:rsidRPr="00FE7C56" w:rsidRDefault="0035209E" w:rsidP="0035209E">
      <w:pPr>
        <w:rPr>
          <w:rFonts w:ascii="Roboto" w:hAnsi="Roboto" w:cstheme="minorHAnsi"/>
          <w:sz w:val="22"/>
          <w:szCs w:val="22"/>
        </w:rPr>
      </w:pPr>
    </w:p>
    <w:p w14:paraId="49BCC99C" w14:textId="6C4A10A4" w:rsidR="003601EB" w:rsidRPr="00FE7C56" w:rsidRDefault="003601EB" w:rsidP="0035209E">
      <w:pPr>
        <w:rPr>
          <w:rFonts w:ascii="Roboto" w:hAnsi="Roboto" w:cstheme="minorHAnsi"/>
          <w:b/>
          <w:bCs/>
          <w:sz w:val="22"/>
          <w:szCs w:val="22"/>
        </w:rPr>
      </w:pPr>
      <w:r w:rsidRPr="00FE7C56">
        <w:rPr>
          <w:rFonts w:ascii="Roboto" w:hAnsi="Roboto" w:cstheme="minorHAnsi"/>
          <w:b/>
          <w:bCs/>
          <w:sz w:val="22"/>
          <w:szCs w:val="22"/>
        </w:rPr>
        <w:t>For GBCSA</w:t>
      </w:r>
    </w:p>
    <w:p w14:paraId="3A44C77E" w14:textId="06F87F05" w:rsidR="0035209E" w:rsidRPr="00FE7C56" w:rsidRDefault="00D31373" w:rsidP="0035209E">
      <w:pPr>
        <w:rPr>
          <w:rFonts w:ascii="Roboto" w:hAnsi="Roboto" w:cstheme="minorHAnsi"/>
          <w:sz w:val="22"/>
          <w:szCs w:val="22"/>
        </w:rPr>
      </w:pPr>
      <w:r w:rsidRPr="00FE7C56">
        <w:rPr>
          <w:rFonts w:ascii="Roboto" w:hAnsi="Roboto" w:cstheme="minorHAnsi"/>
          <w:sz w:val="22"/>
          <w:szCs w:val="22"/>
        </w:rPr>
        <w:t>Georgie Chennells</w:t>
      </w:r>
    </w:p>
    <w:p w14:paraId="65A29100" w14:textId="5B22F8AF" w:rsidR="00D31373" w:rsidRPr="00FE7C56" w:rsidRDefault="00D31373" w:rsidP="0035209E">
      <w:pPr>
        <w:rPr>
          <w:rFonts w:ascii="Roboto" w:hAnsi="Roboto" w:cstheme="minorHAnsi"/>
          <w:sz w:val="22"/>
          <w:szCs w:val="22"/>
        </w:rPr>
      </w:pPr>
      <w:r w:rsidRPr="00FE7C56">
        <w:rPr>
          <w:rFonts w:ascii="Roboto" w:hAnsi="Roboto" w:cstheme="minorHAnsi"/>
          <w:sz w:val="22"/>
          <w:szCs w:val="22"/>
        </w:rPr>
        <w:t>+27 (0)861 042 272</w:t>
      </w:r>
    </w:p>
    <w:p w14:paraId="48A0ECAF" w14:textId="6650B57C" w:rsidR="000614D7" w:rsidRPr="00FE7C56" w:rsidRDefault="003601EB" w:rsidP="00491D48">
      <w:pPr>
        <w:rPr>
          <w:rFonts w:ascii="Roboto" w:hAnsi="Roboto" w:cstheme="minorHAnsi"/>
          <w:sz w:val="22"/>
          <w:szCs w:val="22"/>
        </w:rPr>
      </w:pPr>
      <w:hyperlink r:id="rId13" w:history="1">
        <w:r w:rsidRPr="00FE7C56">
          <w:rPr>
            <w:rStyle w:val="Hyperlink"/>
            <w:rFonts w:ascii="Roboto" w:hAnsi="Roboto" w:cstheme="minorHAnsi"/>
            <w:sz w:val="22"/>
            <w:szCs w:val="22"/>
          </w:rPr>
          <w:t>georgie.chennells@gbcsa.org.za</w:t>
        </w:r>
      </w:hyperlink>
    </w:p>
    <w:p w14:paraId="744A36DB" w14:textId="77777777" w:rsidR="003601EB" w:rsidRPr="00FE7C56" w:rsidRDefault="003601EB" w:rsidP="00491D48">
      <w:pPr>
        <w:rPr>
          <w:rFonts w:ascii="Roboto" w:hAnsi="Roboto" w:cstheme="minorHAnsi"/>
          <w:sz w:val="22"/>
          <w:szCs w:val="22"/>
        </w:rPr>
      </w:pPr>
    </w:p>
    <w:p w14:paraId="5F6CFC42" w14:textId="4DB145A6" w:rsidR="003601EB" w:rsidRPr="00FE7C56" w:rsidRDefault="003601EB" w:rsidP="003601EB">
      <w:pPr>
        <w:rPr>
          <w:rFonts w:ascii="Roboto" w:hAnsi="Roboto" w:cstheme="minorHAnsi"/>
          <w:b/>
          <w:bCs/>
          <w:sz w:val="22"/>
          <w:szCs w:val="22"/>
        </w:rPr>
      </w:pPr>
      <w:r w:rsidRPr="00FE7C56">
        <w:rPr>
          <w:rFonts w:ascii="Roboto" w:hAnsi="Roboto" w:cstheme="minorHAnsi"/>
          <w:b/>
          <w:bCs/>
          <w:sz w:val="22"/>
          <w:szCs w:val="22"/>
        </w:rPr>
        <w:t>For Growthpoint Properties</w:t>
      </w:r>
    </w:p>
    <w:p w14:paraId="206369FF" w14:textId="350CECB5" w:rsidR="003601EB" w:rsidRPr="00FE7C56" w:rsidRDefault="003601EB" w:rsidP="00491D48">
      <w:pPr>
        <w:rPr>
          <w:rFonts w:ascii="Roboto" w:hAnsi="Roboto" w:cstheme="minorHAnsi"/>
          <w:sz w:val="22"/>
          <w:szCs w:val="22"/>
        </w:rPr>
      </w:pPr>
      <w:r w:rsidRPr="00FE7C56">
        <w:rPr>
          <w:rFonts w:ascii="Roboto" w:hAnsi="Roboto" w:cstheme="minorHAnsi"/>
          <w:sz w:val="22"/>
          <w:szCs w:val="22"/>
        </w:rPr>
        <w:t xml:space="preserve">Bronwen Noble </w:t>
      </w:r>
    </w:p>
    <w:p w14:paraId="7BB3C134" w14:textId="2ACB584A" w:rsidR="003601EB" w:rsidRPr="00FE7C56" w:rsidRDefault="003601EB" w:rsidP="00491D48">
      <w:pPr>
        <w:rPr>
          <w:rFonts w:ascii="Roboto" w:hAnsi="Roboto" w:cstheme="minorHAnsi"/>
          <w:sz w:val="22"/>
          <w:szCs w:val="22"/>
        </w:rPr>
      </w:pPr>
      <w:r w:rsidRPr="00FE7C56">
        <w:rPr>
          <w:rFonts w:ascii="Roboto" w:hAnsi="Roboto" w:cstheme="minorHAnsi"/>
          <w:sz w:val="22"/>
          <w:szCs w:val="22"/>
        </w:rPr>
        <w:t>+27 (0)83 453 6668</w:t>
      </w:r>
    </w:p>
    <w:p w14:paraId="5B60DBD1" w14:textId="6FB1AD14" w:rsidR="003601EB" w:rsidRPr="00FE7C56" w:rsidRDefault="003601EB" w:rsidP="00491D48">
      <w:pPr>
        <w:rPr>
          <w:rFonts w:ascii="Roboto" w:hAnsi="Roboto" w:cstheme="minorHAnsi"/>
          <w:sz w:val="22"/>
          <w:szCs w:val="22"/>
        </w:rPr>
      </w:pPr>
      <w:hyperlink r:id="rId14" w:history="1">
        <w:r w:rsidRPr="00FE7C56">
          <w:rPr>
            <w:rStyle w:val="Hyperlink"/>
            <w:rFonts w:ascii="Roboto" w:hAnsi="Roboto" w:cstheme="minorHAnsi"/>
            <w:sz w:val="22"/>
            <w:szCs w:val="22"/>
          </w:rPr>
          <w:t>bronwen@catchwords.co.za</w:t>
        </w:r>
      </w:hyperlink>
    </w:p>
    <w:p w14:paraId="609C8414" w14:textId="77777777" w:rsidR="003601EB" w:rsidRPr="00FE7C56" w:rsidRDefault="003601EB" w:rsidP="00491D48">
      <w:pPr>
        <w:rPr>
          <w:rFonts w:ascii="Roboto" w:hAnsi="Roboto" w:cstheme="minorHAnsi"/>
          <w:sz w:val="22"/>
          <w:szCs w:val="22"/>
        </w:rPr>
      </w:pPr>
    </w:p>
    <w:p w14:paraId="10AC5C62" w14:textId="77777777" w:rsidR="005150DC" w:rsidRPr="00FE7C56" w:rsidRDefault="005150DC" w:rsidP="00CE6ED3">
      <w:pPr>
        <w:spacing w:after="120" w:line="264" w:lineRule="auto"/>
        <w:rPr>
          <w:rFonts w:ascii="Roboto" w:hAnsi="Roboto" w:cstheme="minorHAnsi"/>
          <w:sz w:val="22"/>
          <w:szCs w:val="22"/>
        </w:rPr>
      </w:pPr>
    </w:p>
    <w:sectPr w:rsidR="005150DC" w:rsidRPr="00FE7C56" w:rsidSect="00917A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461C" w14:textId="77777777" w:rsidR="008200A6" w:rsidRDefault="008200A6" w:rsidP="0099011B">
      <w:r>
        <w:separator/>
      </w:r>
    </w:p>
  </w:endnote>
  <w:endnote w:type="continuationSeparator" w:id="0">
    <w:p w14:paraId="49C2A742" w14:textId="77777777" w:rsidR="008200A6" w:rsidRDefault="008200A6" w:rsidP="0099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AD41" w14:textId="4EE765BC" w:rsidR="00C6506B" w:rsidRDefault="000229C2">
    <w:pPr>
      <w:pStyle w:val="Footer"/>
    </w:pPr>
    <w:r>
      <w:rPr>
        <w:noProof/>
      </w:rPr>
      <mc:AlternateContent>
        <mc:Choice Requires="wps">
          <w:drawing>
            <wp:anchor distT="0" distB="0" distL="114300" distR="114300" simplePos="0" relativeHeight="251658240" behindDoc="0" locked="0" layoutInCell="0" allowOverlap="1" wp14:anchorId="1E36CDEB" wp14:editId="6385EE90">
              <wp:simplePos x="0" y="0"/>
              <wp:positionH relativeFrom="page">
                <wp:posOffset>0</wp:posOffset>
              </wp:positionH>
              <wp:positionV relativeFrom="page">
                <wp:posOffset>9594850</wp:posOffset>
              </wp:positionV>
              <wp:extent cx="7772400" cy="273050"/>
              <wp:effectExtent l="0" t="0" r="0" b="12700"/>
              <wp:wrapNone/>
              <wp:docPr id="2" name="MSIPCMfae846db8649098253d8a3f0" descr="{&quot;HashCode&quot;:19400234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6CDEB" id="_x0000_t202" coordsize="21600,21600" o:spt="202" path="m,l,21600r21600,l21600,xe">
              <v:stroke joinstyle="miter"/>
              <v:path gradientshapeok="t" o:connecttype="rect"/>
            </v:shapetype>
            <v:shape id="MSIPCMfae846db8649098253d8a3f0" o:spid="_x0000_s1026" type="#_x0000_t202" alt="{&quot;HashCode&quot;:19400234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7845" w14:textId="77777777" w:rsidR="008200A6" w:rsidRDefault="008200A6" w:rsidP="0099011B">
      <w:r>
        <w:separator/>
      </w:r>
    </w:p>
  </w:footnote>
  <w:footnote w:type="continuationSeparator" w:id="0">
    <w:p w14:paraId="43754BC0" w14:textId="77777777" w:rsidR="008200A6" w:rsidRDefault="008200A6" w:rsidP="0099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0284A"/>
    <w:multiLevelType w:val="hybridMultilevel"/>
    <w:tmpl w:val="998038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78299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A"/>
    <w:rsid w:val="00007910"/>
    <w:rsid w:val="000114D4"/>
    <w:rsid w:val="000207D7"/>
    <w:rsid w:val="000229C2"/>
    <w:rsid w:val="000378B4"/>
    <w:rsid w:val="00044471"/>
    <w:rsid w:val="00052732"/>
    <w:rsid w:val="00056524"/>
    <w:rsid w:val="000614D7"/>
    <w:rsid w:val="0007032D"/>
    <w:rsid w:val="000714EE"/>
    <w:rsid w:val="00071E82"/>
    <w:rsid w:val="000751B7"/>
    <w:rsid w:val="00086E2E"/>
    <w:rsid w:val="00097FE4"/>
    <w:rsid w:val="000A5F53"/>
    <w:rsid w:val="000B1CDA"/>
    <w:rsid w:val="000B4C84"/>
    <w:rsid w:val="000C3BE6"/>
    <w:rsid w:val="000C50FF"/>
    <w:rsid w:val="000F2353"/>
    <w:rsid w:val="000F340F"/>
    <w:rsid w:val="000F4934"/>
    <w:rsid w:val="000F4DAB"/>
    <w:rsid w:val="001071CA"/>
    <w:rsid w:val="00112A46"/>
    <w:rsid w:val="00113DE7"/>
    <w:rsid w:val="001140A0"/>
    <w:rsid w:val="0012058B"/>
    <w:rsid w:val="00123AF9"/>
    <w:rsid w:val="0013309A"/>
    <w:rsid w:val="001407F9"/>
    <w:rsid w:val="00145D19"/>
    <w:rsid w:val="00145E27"/>
    <w:rsid w:val="001505F7"/>
    <w:rsid w:val="00166028"/>
    <w:rsid w:val="00172B84"/>
    <w:rsid w:val="00181501"/>
    <w:rsid w:val="00190043"/>
    <w:rsid w:val="001A5C37"/>
    <w:rsid w:val="001B6039"/>
    <w:rsid w:val="001B6076"/>
    <w:rsid w:val="001C4A6F"/>
    <w:rsid w:val="001C7D58"/>
    <w:rsid w:val="00201B50"/>
    <w:rsid w:val="00211F43"/>
    <w:rsid w:val="00220FF4"/>
    <w:rsid w:val="00225065"/>
    <w:rsid w:val="002328D6"/>
    <w:rsid w:val="00236A49"/>
    <w:rsid w:val="0026660E"/>
    <w:rsid w:val="00286316"/>
    <w:rsid w:val="00290ECD"/>
    <w:rsid w:val="00296FB7"/>
    <w:rsid w:val="002B78D5"/>
    <w:rsid w:val="002C6BD2"/>
    <w:rsid w:val="002D1649"/>
    <w:rsid w:val="002D1990"/>
    <w:rsid w:val="002D3020"/>
    <w:rsid w:val="002D3E7A"/>
    <w:rsid w:val="002D4FFA"/>
    <w:rsid w:val="002D5D80"/>
    <w:rsid w:val="002D6679"/>
    <w:rsid w:val="002D6E1A"/>
    <w:rsid w:val="003035B5"/>
    <w:rsid w:val="00304823"/>
    <w:rsid w:val="0031364D"/>
    <w:rsid w:val="00313B08"/>
    <w:rsid w:val="0033608F"/>
    <w:rsid w:val="0035209E"/>
    <w:rsid w:val="00352B7E"/>
    <w:rsid w:val="003601EB"/>
    <w:rsid w:val="00366E6B"/>
    <w:rsid w:val="00370AE1"/>
    <w:rsid w:val="00377F16"/>
    <w:rsid w:val="00393A43"/>
    <w:rsid w:val="003A33CC"/>
    <w:rsid w:val="003B62D4"/>
    <w:rsid w:val="003D0BFC"/>
    <w:rsid w:val="003D5948"/>
    <w:rsid w:val="003F1481"/>
    <w:rsid w:val="003F197A"/>
    <w:rsid w:val="00400CE0"/>
    <w:rsid w:val="00404492"/>
    <w:rsid w:val="0040505C"/>
    <w:rsid w:val="0041350D"/>
    <w:rsid w:val="0041553A"/>
    <w:rsid w:val="0042113F"/>
    <w:rsid w:val="00440511"/>
    <w:rsid w:val="00441EF1"/>
    <w:rsid w:val="004445C4"/>
    <w:rsid w:val="00460D2D"/>
    <w:rsid w:val="00467B47"/>
    <w:rsid w:val="00475AF1"/>
    <w:rsid w:val="00476825"/>
    <w:rsid w:val="00481D7A"/>
    <w:rsid w:val="00491D48"/>
    <w:rsid w:val="00491EB3"/>
    <w:rsid w:val="004B2DBA"/>
    <w:rsid w:val="004B4A49"/>
    <w:rsid w:val="004C2882"/>
    <w:rsid w:val="004D718C"/>
    <w:rsid w:val="004E3062"/>
    <w:rsid w:val="00500537"/>
    <w:rsid w:val="00500557"/>
    <w:rsid w:val="00503944"/>
    <w:rsid w:val="00507A60"/>
    <w:rsid w:val="005138A6"/>
    <w:rsid w:val="005150DC"/>
    <w:rsid w:val="005155BE"/>
    <w:rsid w:val="00522357"/>
    <w:rsid w:val="00524F1F"/>
    <w:rsid w:val="00531ABE"/>
    <w:rsid w:val="00532ECB"/>
    <w:rsid w:val="00533EC7"/>
    <w:rsid w:val="0054581B"/>
    <w:rsid w:val="00550977"/>
    <w:rsid w:val="00555291"/>
    <w:rsid w:val="00557E0A"/>
    <w:rsid w:val="005633DF"/>
    <w:rsid w:val="005637C3"/>
    <w:rsid w:val="00564788"/>
    <w:rsid w:val="00570695"/>
    <w:rsid w:val="005838DF"/>
    <w:rsid w:val="00584214"/>
    <w:rsid w:val="00585EB4"/>
    <w:rsid w:val="005911A3"/>
    <w:rsid w:val="0059386A"/>
    <w:rsid w:val="005A5C66"/>
    <w:rsid w:val="005A7275"/>
    <w:rsid w:val="005B2A67"/>
    <w:rsid w:val="005D0735"/>
    <w:rsid w:val="005D6A46"/>
    <w:rsid w:val="005E1C02"/>
    <w:rsid w:val="005F2D6E"/>
    <w:rsid w:val="00607221"/>
    <w:rsid w:val="006164FD"/>
    <w:rsid w:val="006248D6"/>
    <w:rsid w:val="00624E62"/>
    <w:rsid w:val="00647A02"/>
    <w:rsid w:val="006555C6"/>
    <w:rsid w:val="006671E2"/>
    <w:rsid w:val="00670C35"/>
    <w:rsid w:val="00670D49"/>
    <w:rsid w:val="006712D2"/>
    <w:rsid w:val="0067383E"/>
    <w:rsid w:val="00680479"/>
    <w:rsid w:val="006842A4"/>
    <w:rsid w:val="00694958"/>
    <w:rsid w:val="006957C4"/>
    <w:rsid w:val="006B165B"/>
    <w:rsid w:val="006C47C8"/>
    <w:rsid w:val="006D006A"/>
    <w:rsid w:val="006D552A"/>
    <w:rsid w:val="006E000F"/>
    <w:rsid w:val="006E5495"/>
    <w:rsid w:val="006E6341"/>
    <w:rsid w:val="006F7219"/>
    <w:rsid w:val="00700C30"/>
    <w:rsid w:val="00710A4C"/>
    <w:rsid w:val="00710F0F"/>
    <w:rsid w:val="00711A0C"/>
    <w:rsid w:val="00712E13"/>
    <w:rsid w:val="007210AF"/>
    <w:rsid w:val="0073547D"/>
    <w:rsid w:val="007433B9"/>
    <w:rsid w:val="007466EB"/>
    <w:rsid w:val="007571FC"/>
    <w:rsid w:val="0075774D"/>
    <w:rsid w:val="00761ABB"/>
    <w:rsid w:val="00764175"/>
    <w:rsid w:val="00766D61"/>
    <w:rsid w:val="007715B7"/>
    <w:rsid w:val="007756AC"/>
    <w:rsid w:val="0078154C"/>
    <w:rsid w:val="00797488"/>
    <w:rsid w:val="007A0D59"/>
    <w:rsid w:val="007B219E"/>
    <w:rsid w:val="007E2272"/>
    <w:rsid w:val="007E22FA"/>
    <w:rsid w:val="008040D0"/>
    <w:rsid w:val="00805213"/>
    <w:rsid w:val="00807902"/>
    <w:rsid w:val="00807D21"/>
    <w:rsid w:val="0081344F"/>
    <w:rsid w:val="008200A6"/>
    <w:rsid w:val="00821127"/>
    <w:rsid w:val="00826BA3"/>
    <w:rsid w:val="0083062D"/>
    <w:rsid w:val="008412F6"/>
    <w:rsid w:val="0084278B"/>
    <w:rsid w:val="00851521"/>
    <w:rsid w:val="00853DBD"/>
    <w:rsid w:val="0086495C"/>
    <w:rsid w:val="0088503F"/>
    <w:rsid w:val="008879FF"/>
    <w:rsid w:val="00890159"/>
    <w:rsid w:val="008A0FB0"/>
    <w:rsid w:val="008B3551"/>
    <w:rsid w:val="008C0F6D"/>
    <w:rsid w:val="008C3E96"/>
    <w:rsid w:val="008C6226"/>
    <w:rsid w:val="008D0A06"/>
    <w:rsid w:val="008D4B69"/>
    <w:rsid w:val="008D667B"/>
    <w:rsid w:val="008E3DBB"/>
    <w:rsid w:val="008E4A8B"/>
    <w:rsid w:val="008E5F35"/>
    <w:rsid w:val="008F2A17"/>
    <w:rsid w:val="009002ED"/>
    <w:rsid w:val="00901344"/>
    <w:rsid w:val="009033D1"/>
    <w:rsid w:val="00903763"/>
    <w:rsid w:val="00912DAD"/>
    <w:rsid w:val="00917AA2"/>
    <w:rsid w:val="00927F6B"/>
    <w:rsid w:val="00944A84"/>
    <w:rsid w:val="009574D4"/>
    <w:rsid w:val="00962E1C"/>
    <w:rsid w:val="009821EB"/>
    <w:rsid w:val="009829D1"/>
    <w:rsid w:val="0099011B"/>
    <w:rsid w:val="009A2B5E"/>
    <w:rsid w:val="009B2B7C"/>
    <w:rsid w:val="009C058A"/>
    <w:rsid w:val="009C0759"/>
    <w:rsid w:val="009E5B8C"/>
    <w:rsid w:val="009F7BDB"/>
    <w:rsid w:val="00A01256"/>
    <w:rsid w:val="00A11FA3"/>
    <w:rsid w:val="00A1346C"/>
    <w:rsid w:val="00A33F5E"/>
    <w:rsid w:val="00A40692"/>
    <w:rsid w:val="00A542D7"/>
    <w:rsid w:val="00A57C1A"/>
    <w:rsid w:val="00A61A47"/>
    <w:rsid w:val="00A62EEF"/>
    <w:rsid w:val="00A643CB"/>
    <w:rsid w:val="00A70EE0"/>
    <w:rsid w:val="00A744C4"/>
    <w:rsid w:val="00A7641C"/>
    <w:rsid w:val="00A8360C"/>
    <w:rsid w:val="00A91D0C"/>
    <w:rsid w:val="00A91E18"/>
    <w:rsid w:val="00A9224B"/>
    <w:rsid w:val="00A95E37"/>
    <w:rsid w:val="00AA0EC5"/>
    <w:rsid w:val="00AA4DD8"/>
    <w:rsid w:val="00AB281F"/>
    <w:rsid w:val="00AC42D7"/>
    <w:rsid w:val="00AD4DD6"/>
    <w:rsid w:val="00AF3A7C"/>
    <w:rsid w:val="00AF63C6"/>
    <w:rsid w:val="00B000C9"/>
    <w:rsid w:val="00B01C3E"/>
    <w:rsid w:val="00B04166"/>
    <w:rsid w:val="00B056EA"/>
    <w:rsid w:val="00B11A14"/>
    <w:rsid w:val="00B161FE"/>
    <w:rsid w:val="00B20CD6"/>
    <w:rsid w:val="00B27D7B"/>
    <w:rsid w:val="00B30F1D"/>
    <w:rsid w:val="00B31CCA"/>
    <w:rsid w:val="00B55262"/>
    <w:rsid w:val="00B67627"/>
    <w:rsid w:val="00B73E28"/>
    <w:rsid w:val="00B77FB2"/>
    <w:rsid w:val="00B80F7F"/>
    <w:rsid w:val="00B868CF"/>
    <w:rsid w:val="00B90232"/>
    <w:rsid w:val="00B926A8"/>
    <w:rsid w:val="00B92E3C"/>
    <w:rsid w:val="00BA1F01"/>
    <w:rsid w:val="00BB10A3"/>
    <w:rsid w:val="00BC3414"/>
    <w:rsid w:val="00BC3416"/>
    <w:rsid w:val="00BD4D1B"/>
    <w:rsid w:val="00BD7EA8"/>
    <w:rsid w:val="00BE0BA0"/>
    <w:rsid w:val="00BE1562"/>
    <w:rsid w:val="00BE2F23"/>
    <w:rsid w:val="00BE43F2"/>
    <w:rsid w:val="00BF5568"/>
    <w:rsid w:val="00BF79E0"/>
    <w:rsid w:val="00C212F5"/>
    <w:rsid w:val="00C216EC"/>
    <w:rsid w:val="00C234D0"/>
    <w:rsid w:val="00C26D9C"/>
    <w:rsid w:val="00C3142F"/>
    <w:rsid w:val="00C361DF"/>
    <w:rsid w:val="00C4314A"/>
    <w:rsid w:val="00C446C2"/>
    <w:rsid w:val="00C47020"/>
    <w:rsid w:val="00C6506B"/>
    <w:rsid w:val="00C65E40"/>
    <w:rsid w:val="00C75E79"/>
    <w:rsid w:val="00C77885"/>
    <w:rsid w:val="00C80C7F"/>
    <w:rsid w:val="00C81075"/>
    <w:rsid w:val="00C82F84"/>
    <w:rsid w:val="00CA2E5E"/>
    <w:rsid w:val="00CC3338"/>
    <w:rsid w:val="00CC36C2"/>
    <w:rsid w:val="00CC4138"/>
    <w:rsid w:val="00CC44A2"/>
    <w:rsid w:val="00CE386D"/>
    <w:rsid w:val="00CE6ED3"/>
    <w:rsid w:val="00CF213C"/>
    <w:rsid w:val="00D125D2"/>
    <w:rsid w:val="00D21A15"/>
    <w:rsid w:val="00D25834"/>
    <w:rsid w:val="00D30A36"/>
    <w:rsid w:val="00D31373"/>
    <w:rsid w:val="00D32D10"/>
    <w:rsid w:val="00D3480E"/>
    <w:rsid w:val="00D3596A"/>
    <w:rsid w:val="00D366E9"/>
    <w:rsid w:val="00D547C4"/>
    <w:rsid w:val="00D55270"/>
    <w:rsid w:val="00D55CAE"/>
    <w:rsid w:val="00D7097B"/>
    <w:rsid w:val="00D70E83"/>
    <w:rsid w:val="00D80230"/>
    <w:rsid w:val="00D8303C"/>
    <w:rsid w:val="00D96A57"/>
    <w:rsid w:val="00DA06EC"/>
    <w:rsid w:val="00DA0A6F"/>
    <w:rsid w:val="00DA56D6"/>
    <w:rsid w:val="00DB413F"/>
    <w:rsid w:val="00DB5E8E"/>
    <w:rsid w:val="00DC0522"/>
    <w:rsid w:val="00DC413D"/>
    <w:rsid w:val="00DD2C4D"/>
    <w:rsid w:val="00DD498F"/>
    <w:rsid w:val="00DE381E"/>
    <w:rsid w:val="00DF1473"/>
    <w:rsid w:val="00DF7ECE"/>
    <w:rsid w:val="00E00147"/>
    <w:rsid w:val="00E004AF"/>
    <w:rsid w:val="00E12FA6"/>
    <w:rsid w:val="00E173FD"/>
    <w:rsid w:val="00E20AA3"/>
    <w:rsid w:val="00E211C3"/>
    <w:rsid w:val="00E217C2"/>
    <w:rsid w:val="00E308A8"/>
    <w:rsid w:val="00E37D3A"/>
    <w:rsid w:val="00E507C3"/>
    <w:rsid w:val="00E55FE7"/>
    <w:rsid w:val="00E70EC7"/>
    <w:rsid w:val="00E96F5A"/>
    <w:rsid w:val="00EA234E"/>
    <w:rsid w:val="00EA27EC"/>
    <w:rsid w:val="00EB0879"/>
    <w:rsid w:val="00EB32B7"/>
    <w:rsid w:val="00EC0B41"/>
    <w:rsid w:val="00ED12FF"/>
    <w:rsid w:val="00ED24B6"/>
    <w:rsid w:val="00ED3F52"/>
    <w:rsid w:val="00ED50C3"/>
    <w:rsid w:val="00EF59EB"/>
    <w:rsid w:val="00F03975"/>
    <w:rsid w:val="00F056F5"/>
    <w:rsid w:val="00F0598F"/>
    <w:rsid w:val="00F06D32"/>
    <w:rsid w:val="00F14425"/>
    <w:rsid w:val="00F1560A"/>
    <w:rsid w:val="00F27F17"/>
    <w:rsid w:val="00F37393"/>
    <w:rsid w:val="00F403A6"/>
    <w:rsid w:val="00F50EDE"/>
    <w:rsid w:val="00F5208F"/>
    <w:rsid w:val="00F55B73"/>
    <w:rsid w:val="00F5675D"/>
    <w:rsid w:val="00F72004"/>
    <w:rsid w:val="00F767CD"/>
    <w:rsid w:val="00F7767C"/>
    <w:rsid w:val="00F87750"/>
    <w:rsid w:val="00F9074A"/>
    <w:rsid w:val="00F920A9"/>
    <w:rsid w:val="00F95D9A"/>
    <w:rsid w:val="00F95DBC"/>
    <w:rsid w:val="00FA075F"/>
    <w:rsid w:val="00FA1D9F"/>
    <w:rsid w:val="00FB044D"/>
    <w:rsid w:val="00FB755A"/>
    <w:rsid w:val="00FD0EE8"/>
    <w:rsid w:val="00FD41A3"/>
    <w:rsid w:val="00FD7C99"/>
    <w:rsid w:val="00FE2406"/>
    <w:rsid w:val="00FE7C56"/>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5490"/>
  <w15:docId w15:val="{91919CCC-5E69-4415-BCCC-6324957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6A"/>
    <w:pPr>
      <w:spacing w:after="0" w:line="240" w:lineRule="auto"/>
    </w:pPr>
    <w:rPr>
      <w:rFonts w:eastAsiaTheme="minorEastAsia"/>
      <w:sz w:val="24"/>
      <w:szCs w:val="24"/>
      <w:lang w:val="en-GB"/>
    </w:rPr>
  </w:style>
  <w:style w:type="paragraph" w:styleId="Heading2">
    <w:name w:val="heading 2"/>
    <w:basedOn w:val="Normal"/>
    <w:next w:val="Normal"/>
    <w:link w:val="Heading2Char"/>
    <w:uiPriority w:val="9"/>
    <w:unhideWhenUsed/>
    <w:qFormat/>
    <w:rsid w:val="00D31373"/>
    <w:pPr>
      <w:keepNext/>
      <w:keepLines/>
      <w:spacing w:before="160" w:after="80" w:line="279" w:lineRule="auto"/>
      <w:outlineLvl w:val="1"/>
    </w:pPr>
    <w:rPr>
      <w:rFonts w:asciiTheme="majorHAnsi" w:eastAsiaTheme="majorEastAsia" w:hAnsiTheme="majorHAnsi" w:cstheme="majorBidi"/>
      <w:color w:val="365F91" w:themeColor="accent1" w:themeShade="BF"/>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6A"/>
    <w:rPr>
      <w:color w:val="0000FF" w:themeColor="hyperlink"/>
      <w:u w:val="single"/>
    </w:rPr>
  </w:style>
  <w:style w:type="paragraph" w:styleId="BalloonText">
    <w:name w:val="Balloon Text"/>
    <w:basedOn w:val="Normal"/>
    <w:link w:val="BalloonTextChar"/>
    <w:uiPriority w:val="99"/>
    <w:semiHidden/>
    <w:unhideWhenUsed/>
    <w:rsid w:val="0059386A"/>
    <w:rPr>
      <w:rFonts w:ascii="Tahoma" w:hAnsi="Tahoma" w:cs="Tahoma"/>
      <w:sz w:val="16"/>
      <w:szCs w:val="16"/>
    </w:rPr>
  </w:style>
  <w:style w:type="character" w:customStyle="1" w:styleId="BalloonTextChar">
    <w:name w:val="Balloon Text Char"/>
    <w:basedOn w:val="DefaultParagraphFont"/>
    <w:link w:val="BalloonText"/>
    <w:uiPriority w:val="99"/>
    <w:semiHidden/>
    <w:rsid w:val="0059386A"/>
    <w:rPr>
      <w:rFonts w:ascii="Tahoma" w:eastAsiaTheme="minorEastAsia" w:hAnsi="Tahoma" w:cs="Tahoma"/>
      <w:sz w:val="16"/>
      <w:szCs w:val="16"/>
      <w:lang w:val="en-GB"/>
    </w:rPr>
  </w:style>
  <w:style w:type="paragraph" w:styleId="Header">
    <w:name w:val="header"/>
    <w:basedOn w:val="Normal"/>
    <w:link w:val="HeaderChar"/>
    <w:uiPriority w:val="99"/>
    <w:unhideWhenUsed/>
    <w:rsid w:val="0099011B"/>
    <w:pPr>
      <w:tabs>
        <w:tab w:val="center" w:pos="4513"/>
        <w:tab w:val="right" w:pos="9026"/>
      </w:tabs>
    </w:pPr>
  </w:style>
  <w:style w:type="character" w:customStyle="1" w:styleId="HeaderChar">
    <w:name w:val="Header Char"/>
    <w:basedOn w:val="DefaultParagraphFont"/>
    <w:link w:val="Header"/>
    <w:uiPriority w:val="99"/>
    <w:rsid w:val="0099011B"/>
    <w:rPr>
      <w:rFonts w:eastAsiaTheme="minorEastAsia"/>
      <w:sz w:val="24"/>
      <w:szCs w:val="24"/>
      <w:lang w:val="en-GB"/>
    </w:rPr>
  </w:style>
  <w:style w:type="paragraph" w:styleId="Footer">
    <w:name w:val="footer"/>
    <w:basedOn w:val="Normal"/>
    <w:link w:val="FooterChar"/>
    <w:uiPriority w:val="99"/>
    <w:unhideWhenUsed/>
    <w:rsid w:val="0099011B"/>
    <w:pPr>
      <w:tabs>
        <w:tab w:val="center" w:pos="4513"/>
        <w:tab w:val="right" w:pos="9026"/>
      </w:tabs>
    </w:pPr>
  </w:style>
  <w:style w:type="character" w:customStyle="1" w:styleId="FooterChar">
    <w:name w:val="Footer Char"/>
    <w:basedOn w:val="DefaultParagraphFont"/>
    <w:link w:val="Footer"/>
    <w:uiPriority w:val="99"/>
    <w:rsid w:val="0099011B"/>
    <w:rPr>
      <w:rFonts w:eastAsiaTheme="minorEastAsia"/>
      <w:sz w:val="24"/>
      <w:szCs w:val="24"/>
      <w:lang w:val="en-GB"/>
    </w:rPr>
  </w:style>
  <w:style w:type="paragraph" w:styleId="NormalWeb">
    <w:name w:val="Normal (Web)"/>
    <w:basedOn w:val="Normal"/>
    <w:uiPriority w:val="99"/>
    <w:semiHidden/>
    <w:unhideWhenUsed/>
    <w:rsid w:val="00A1346C"/>
    <w:pPr>
      <w:spacing w:before="100" w:beforeAutospacing="1" w:after="100" w:afterAutospacing="1"/>
    </w:pPr>
    <w:rPr>
      <w:rFonts w:ascii="Times New Roman" w:eastAsia="Times New Roman" w:hAnsi="Times New Roman" w:cs="Times New Roman"/>
      <w:lang w:val="en-ZA" w:eastAsia="en-ZA"/>
    </w:rPr>
  </w:style>
  <w:style w:type="character" w:styleId="Strong">
    <w:name w:val="Strong"/>
    <w:basedOn w:val="DefaultParagraphFont"/>
    <w:uiPriority w:val="22"/>
    <w:qFormat/>
    <w:rsid w:val="00A1346C"/>
    <w:rPr>
      <w:b/>
      <w:bCs/>
    </w:rPr>
  </w:style>
  <w:style w:type="table" w:styleId="TableGrid">
    <w:name w:val="Table Grid"/>
    <w:basedOn w:val="TableNormal"/>
    <w:uiPriority w:val="59"/>
    <w:rsid w:val="005B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18C"/>
    <w:pPr>
      <w:spacing w:after="0" w:line="240" w:lineRule="auto"/>
    </w:pPr>
    <w:rPr>
      <w:rFonts w:eastAsiaTheme="minorEastAsia"/>
      <w:sz w:val="24"/>
      <w:szCs w:val="24"/>
      <w:lang w:val="en-GB"/>
    </w:rPr>
  </w:style>
  <w:style w:type="character" w:styleId="CommentReference">
    <w:name w:val="annotation reference"/>
    <w:basedOn w:val="DefaultParagraphFont"/>
    <w:uiPriority w:val="99"/>
    <w:semiHidden/>
    <w:unhideWhenUsed/>
    <w:rsid w:val="004D718C"/>
    <w:rPr>
      <w:sz w:val="16"/>
      <w:szCs w:val="16"/>
    </w:rPr>
  </w:style>
  <w:style w:type="paragraph" w:styleId="CommentText">
    <w:name w:val="annotation text"/>
    <w:basedOn w:val="Normal"/>
    <w:link w:val="CommentTextChar"/>
    <w:uiPriority w:val="99"/>
    <w:unhideWhenUsed/>
    <w:rsid w:val="004D718C"/>
    <w:rPr>
      <w:sz w:val="20"/>
      <w:szCs w:val="20"/>
    </w:rPr>
  </w:style>
  <w:style w:type="character" w:customStyle="1" w:styleId="CommentTextChar">
    <w:name w:val="Comment Text Char"/>
    <w:basedOn w:val="DefaultParagraphFont"/>
    <w:link w:val="CommentText"/>
    <w:uiPriority w:val="99"/>
    <w:rsid w:val="004D718C"/>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4D718C"/>
    <w:rPr>
      <w:b/>
      <w:bCs/>
    </w:rPr>
  </w:style>
  <w:style w:type="character" w:customStyle="1" w:styleId="CommentSubjectChar">
    <w:name w:val="Comment Subject Char"/>
    <w:basedOn w:val="CommentTextChar"/>
    <w:link w:val="CommentSubject"/>
    <w:uiPriority w:val="99"/>
    <w:semiHidden/>
    <w:rsid w:val="004D718C"/>
    <w:rPr>
      <w:rFonts w:eastAsiaTheme="minorEastAsia"/>
      <w:b/>
      <w:bCs/>
      <w:sz w:val="20"/>
      <w:szCs w:val="20"/>
      <w:lang w:val="en-GB"/>
    </w:rPr>
  </w:style>
  <w:style w:type="paragraph" w:customStyle="1" w:styleId="Boilerplate">
    <w:name w:val="Boilerplate"/>
    <w:basedOn w:val="Normal"/>
    <w:rsid w:val="000614D7"/>
    <w:pPr>
      <w:spacing w:after="120"/>
      <w:ind w:right="-23"/>
    </w:pPr>
    <w:rPr>
      <w:rFonts w:ascii="Calibri" w:eastAsiaTheme="minorHAnsi" w:hAnsi="Calibri" w:cs="Calibri"/>
      <w:color w:val="465058"/>
      <w:sz w:val="20"/>
      <w:szCs w:val="20"/>
      <w:lang w:val="en-ZA"/>
    </w:rPr>
  </w:style>
  <w:style w:type="character" w:customStyle="1" w:styleId="Hyperlink0">
    <w:name w:val="Hyperlink.0"/>
    <w:basedOn w:val="Hyperlink"/>
    <w:rsid w:val="0035209E"/>
    <w:rPr>
      <w:color w:val="0000FF" w:themeColor="hyperlink"/>
      <w:u w:val="single"/>
    </w:rPr>
  </w:style>
  <w:style w:type="character" w:styleId="UnresolvedMention">
    <w:name w:val="Unresolved Mention"/>
    <w:basedOn w:val="DefaultParagraphFont"/>
    <w:uiPriority w:val="99"/>
    <w:semiHidden/>
    <w:unhideWhenUsed/>
    <w:rsid w:val="005D0735"/>
    <w:rPr>
      <w:color w:val="605E5C"/>
      <w:shd w:val="clear" w:color="auto" w:fill="E1DFDD"/>
    </w:rPr>
  </w:style>
  <w:style w:type="character" w:styleId="FollowedHyperlink">
    <w:name w:val="FollowedHyperlink"/>
    <w:basedOn w:val="DefaultParagraphFont"/>
    <w:uiPriority w:val="99"/>
    <w:semiHidden/>
    <w:unhideWhenUsed/>
    <w:rsid w:val="00B92E3C"/>
    <w:rPr>
      <w:color w:val="800080" w:themeColor="followedHyperlink"/>
      <w:u w:val="single"/>
    </w:rPr>
  </w:style>
  <w:style w:type="character" w:customStyle="1" w:styleId="Heading2Char">
    <w:name w:val="Heading 2 Char"/>
    <w:basedOn w:val="DefaultParagraphFont"/>
    <w:link w:val="Heading2"/>
    <w:uiPriority w:val="9"/>
    <w:rsid w:val="00D31373"/>
    <w:rPr>
      <w:rFonts w:asciiTheme="majorHAnsi" w:eastAsiaTheme="majorEastAsia" w:hAnsiTheme="majorHAnsi" w:cstheme="majorBidi"/>
      <w:color w:val="365F91" w:themeColor="accent1" w:themeShade="BF"/>
      <w:sz w:val="32"/>
      <w:szCs w:val="32"/>
      <w:lang w:eastAsia="ja-JP"/>
    </w:rPr>
  </w:style>
  <w:style w:type="paragraph" w:styleId="ListParagraph">
    <w:name w:val="List Paragraph"/>
    <w:basedOn w:val="Normal"/>
    <w:uiPriority w:val="34"/>
    <w:qFormat/>
    <w:rsid w:val="00EC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8785">
      <w:bodyDiv w:val="1"/>
      <w:marLeft w:val="0"/>
      <w:marRight w:val="0"/>
      <w:marTop w:val="0"/>
      <w:marBottom w:val="0"/>
      <w:divBdr>
        <w:top w:val="none" w:sz="0" w:space="0" w:color="auto"/>
        <w:left w:val="none" w:sz="0" w:space="0" w:color="auto"/>
        <w:bottom w:val="none" w:sz="0" w:space="0" w:color="auto"/>
        <w:right w:val="none" w:sz="0" w:space="0" w:color="auto"/>
      </w:divBdr>
      <w:divsChild>
        <w:div w:id="2080857427">
          <w:marLeft w:val="0"/>
          <w:marRight w:val="0"/>
          <w:marTop w:val="0"/>
          <w:marBottom w:val="450"/>
          <w:divBdr>
            <w:top w:val="none" w:sz="0" w:space="0" w:color="auto"/>
            <w:left w:val="none" w:sz="0" w:space="0" w:color="auto"/>
            <w:bottom w:val="none" w:sz="0" w:space="0" w:color="auto"/>
            <w:right w:val="none" w:sz="0" w:space="0" w:color="auto"/>
          </w:divBdr>
          <w:divsChild>
            <w:div w:id="290285975">
              <w:marLeft w:val="0"/>
              <w:marRight w:val="0"/>
              <w:marTop w:val="0"/>
              <w:marBottom w:val="0"/>
              <w:divBdr>
                <w:top w:val="none" w:sz="0" w:space="0" w:color="auto"/>
                <w:left w:val="none" w:sz="0" w:space="0" w:color="auto"/>
                <w:bottom w:val="none" w:sz="0" w:space="0" w:color="auto"/>
                <w:right w:val="none" w:sz="0" w:space="0" w:color="auto"/>
              </w:divBdr>
            </w:div>
          </w:divsChild>
        </w:div>
        <w:div w:id="417480281">
          <w:marLeft w:val="0"/>
          <w:marRight w:val="0"/>
          <w:marTop w:val="0"/>
          <w:marBottom w:val="450"/>
          <w:divBdr>
            <w:top w:val="none" w:sz="0" w:space="0" w:color="auto"/>
            <w:left w:val="none" w:sz="0" w:space="0" w:color="auto"/>
            <w:bottom w:val="none" w:sz="0" w:space="0" w:color="auto"/>
            <w:right w:val="none" w:sz="0" w:space="0" w:color="auto"/>
          </w:divBdr>
          <w:divsChild>
            <w:div w:id="13482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6224">
      <w:bodyDiv w:val="1"/>
      <w:marLeft w:val="0"/>
      <w:marRight w:val="0"/>
      <w:marTop w:val="0"/>
      <w:marBottom w:val="0"/>
      <w:divBdr>
        <w:top w:val="none" w:sz="0" w:space="0" w:color="auto"/>
        <w:left w:val="none" w:sz="0" w:space="0" w:color="auto"/>
        <w:bottom w:val="none" w:sz="0" w:space="0" w:color="auto"/>
        <w:right w:val="none" w:sz="0" w:space="0" w:color="auto"/>
      </w:divBdr>
    </w:div>
    <w:div w:id="252667650">
      <w:bodyDiv w:val="1"/>
      <w:marLeft w:val="0"/>
      <w:marRight w:val="0"/>
      <w:marTop w:val="0"/>
      <w:marBottom w:val="0"/>
      <w:divBdr>
        <w:top w:val="none" w:sz="0" w:space="0" w:color="auto"/>
        <w:left w:val="none" w:sz="0" w:space="0" w:color="auto"/>
        <w:bottom w:val="none" w:sz="0" w:space="0" w:color="auto"/>
        <w:right w:val="none" w:sz="0" w:space="0" w:color="auto"/>
      </w:divBdr>
    </w:div>
    <w:div w:id="296958990">
      <w:bodyDiv w:val="1"/>
      <w:marLeft w:val="0"/>
      <w:marRight w:val="0"/>
      <w:marTop w:val="0"/>
      <w:marBottom w:val="0"/>
      <w:divBdr>
        <w:top w:val="none" w:sz="0" w:space="0" w:color="auto"/>
        <w:left w:val="none" w:sz="0" w:space="0" w:color="auto"/>
        <w:bottom w:val="none" w:sz="0" w:space="0" w:color="auto"/>
        <w:right w:val="none" w:sz="0" w:space="0" w:color="auto"/>
      </w:divBdr>
    </w:div>
    <w:div w:id="298265855">
      <w:bodyDiv w:val="1"/>
      <w:marLeft w:val="0"/>
      <w:marRight w:val="0"/>
      <w:marTop w:val="0"/>
      <w:marBottom w:val="0"/>
      <w:divBdr>
        <w:top w:val="none" w:sz="0" w:space="0" w:color="auto"/>
        <w:left w:val="none" w:sz="0" w:space="0" w:color="auto"/>
        <w:bottom w:val="none" w:sz="0" w:space="0" w:color="auto"/>
        <w:right w:val="none" w:sz="0" w:space="0" w:color="auto"/>
      </w:divBdr>
    </w:div>
    <w:div w:id="337583015">
      <w:bodyDiv w:val="1"/>
      <w:marLeft w:val="0"/>
      <w:marRight w:val="0"/>
      <w:marTop w:val="0"/>
      <w:marBottom w:val="0"/>
      <w:divBdr>
        <w:top w:val="none" w:sz="0" w:space="0" w:color="auto"/>
        <w:left w:val="none" w:sz="0" w:space="0" w:color="auto"/>
        <w:bottom w:val="none" w:sz="0" w:space="0" w:color="auto"/>
        <w:right w:val="none" w:sz="0" w:space="0" w:color="auto"/>
      </w:divBdr>
    </w:div>
    <w:div w:id="349453988">
      <w:bodyDiv w:val="1"/>
      <w:marLeft w:val="0"/>
      <w:marRight w:val="0"/>
      <w:marTop w:val="0"/>
      <w:marBottom w:val="0"/>
      <w:divBdr>
        <w:top w:val="none" w:sz="0" w:space="0" w:color="auto"/>
        <w:left w:val="none" w:sz="0" w:space="0" w:color="auto"/>
        <w:bottom w:val="none" w:sz="0" w:space="0" w:color="auto"/>
        <w:right w:val="none" w:sz="0" w:space="0" w:color="auto"/>
      </w:divBdr>
    </w:div>
    <w:div w:id="380595607">
      <w:bodyDiv w:val="1"/>
      <w:marLeft w:val="0"/>
      <w:marRight w:val="0"/>
      <w:marTop w:val="0"/>
      <w:marBottom w:val="0"/>
      <w:divBdr>
        <w:top w:val="none" w:sz="0" w:space="0" w:color="auto"/>
        <w:left w:val="none" w:sz="0" w:space="0" w:color="auto"/>
        <w:bottom w:val="none" w:sz="0" w:space="0" w:color="auto"/>
        <w:right w:val="none" w:sz="0" w:space="0" w:color="auto"/>
      </w:divBdr>
      <w:divsChild>
        <w:div w:id="1285116458">
          <w:marLeft w:val="0"/>
          <w:marRight w:val="0"/>
          <w:marTop w:val="0"/>
          <w:marBottom w:val="450"/>
          <w:divBdr>
            <w:top w:val="none" w:sz="0" w:space="0" w:color="auto"/>
            <w:left w:val="none" w:sz="0" w:space="0" w:color="auto"/>
            <w:bottom w:val="none" w:sz="0" w:space="0" w:color="auto"/>
            <w:right w:val="none" w:sz="0" w:space="0" w:color="auto"/>
          </w:divBdr>
          <w:divsChild>
            <w:div w:id="598638313">
              <w:marLeft w:val="0"/>
              <w:marRight w:val="0"/>
              <w:marTop w:val="0"/>
              <w:marBottom w:val="0"/>
              <w:divBdr>
                <w:top w:val="none" w:sz="0" w:space="0" w:color="auto"/>
                <w:left w:val="none" w:sz="0" w:space="0" w:color="auto"/>
                <w:bottom w:val="none" w:sz="0" w:space="0" w:color="auto"/>
                <w:right w:val="none" w:sz="0" w:space="0" w:color="auto"/>
              </w:divBdr>
            </w:div>
          </w:divsChild>
        </w:div>
        <w:div w:id="656956176">
          <w:marLeft w:val="0"/>
          <w:marRight w:val="0"/>
          <w:marTop w:val="0"/>
          <w:marBottom w:val="450"/>
          <w:divBdr>
            <w:top w:val="none" w:sz="0" w:space="0" w:color="auto"/>
            <w:left w:val="none" w:sz="0" w:space="0" w:color="auto"/>
            <w:bottom w:val="none" w:sz="0" w:space="0" w:color="auto"/>
            <w:right w:val="none" w:sz="0" w:space="0" w:color="auto"/>
          </w:divBdr>
          <w:divsChild>
            <w:div w:id="8008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815">
      <w:bodyDiv w:val="1"/>
      <w:marLeft w:val="0"/>
      <w:marRight w:val="0"/>
      <w:marTop w:val="0"/>
      <w:marBottom w:val="0"/>
      <w:divBdr>
        <w:top w:val="none" w:sz="0" w:space="0" w:color="auto"/>
        <w:left w:val="none" w:sz="0" w:space="0" w:color="auto"/>
        <w:bottom w:val="none" w:sz="0" w:space="0" w:color="auto"/>
        <w:right w:val="none" w:sz="0" w:space="0" w:color="auto"/>
      </w:divBdr>
      <w:divsChild>
        <w:div w:id="2073691387">
          <w:marLeft w:val="0"/>
          <w:marRight w:val="0"/>
          <w:marTop w:val="0"/>
          <w:marBottom w:val="450"/>
          <w:divBdr>
            <w:top w:val="none" w:sz="0" w:space="0" w:color="auto"/>
            <w:left w:val="none" w:sz="0" w:space="0" w:color="auto"/>
            <w:bottom w:val="none" w:sz="0" w:space="0" w:color="auto"/>
            <w:right w:val="none" w:sz="0" w:space="0" w:color="auto"/>
          </w:divBdr>
          <w:divsChild>
            <w:div w:id="1916931566">
              <w:marLeft w:val="0"/>
              <w:marRight w:val="0"/>
              <w:marTop w:val="0"/>
              <w:marBottom w:val="0"/>
              <w:divBdr>
                <w:top w:val="none" w:sz="0" w:space="0" w:color="auto"/>
                <w:left w:val="none" w:sz="0" w:space="0" w:color="auto"/>
                <w:bottom w:val="none" w:sz="0" w:space="0" w:color="auto"/>
                <w:right w:val="none" w:sz="0" w:space="0" w:color="auto"/>
              </w:divBdr>
            </w:div>
          </w:divsChild>
        </w:div>
        <w:div w:id="1933468056">
          <w:marLeft w:val="0"/>
          <w:marRight w:val="0"/>
          <w:marTop w:val="0"/>
          <w:marBottom w:val="450"/>
          <w:divBdr>
            <w:top w:val="none" w:sz="0" w:space="0" w:color="auto"/>
            <w:left w:val="none" w:sz="0" w:space="0" w:color="auto"/>
            <w:bottom w:val="none" w:sz="0" w:space="0" w:color="auto"/>
            <w:right w:val="none" w:sz="0" w:space="0" w:color="auto"/>
          </w:divBdr>
          <w:divsChild>
            <w:div w:id="7263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1392">
      <w:bodyDiv w:val="1"/>
      <w:marLeft w:val="0"/>
      <w:marRight w:val="0"/>
      <w:marTop w:val="0"/>
      <w:marBottom w:val="0"/>
      <w:divBdr>
        <w:top w:val="none" w:sz="0" w:space="0" w:color="auto"/>
        <w:left w:val="none" w:sz="0" w:space="0" w:color="auto"/>
        <w:bottom w:val="none" w:sz="0" w:space="0" w:color="auto"/>
        <w:right w:val="none" w:sz="0" w:space="0" w:color="auto"/>
      </w:divBdr>
    </w:div>
    <w:div w:id="668944203">
      <w:bodyDiv w:val="1"/>
      <w:marLeft w:val="0"/>
      <w:marRight w:val="0"/>
      <w:marTop w:val="0"/>
      <w:marBottom w:val="0"/>
      <w:divBdr>
        <w:top w:val="none" w:sz="0" w:space="0" w:color="auto"/>
        <w:left w:val="none" w:sz="0" w:space="0" w:color="auto"/>
        <w:bottom w:val="none" w:sz="0" w:space="0" w:color="auto"/>
        <w:right w:val="none" w:sz="0" w:space="0" w:color="auto"/>
      </w:divBdr>
    </w:div>
    <w:div w:id="692339982">
      <w:bodyDiv w:val="1"/>
      <w:marLeft w:val="0"/>
      <w:marRight w:val="0"/>
      <w:marTop w:val="0"/>
      <w:marBottom w:val="0"/>
      <w:divBdr>
        <w:top w:val="none" w:sz="0" w:space="0" w:color="auto"/>
        <w:left w:val="none" w:sz="0" w:space="0" w:color="auto"/>
        <w:bottom w:val="none" w:sz="0" w:space="0" w:color="auto"/>
        <w:right w:val="none" w:sz="0" w:space="0" w:color="auto"/>
      </w:divBdr>
    </w:div>
    <w:div w:id="713776996">
      <w:bodyDiv w:val="1"/>
      <w:marLeft w:val="0"/>
      <w:marRight w:val="0"/>
      <w:marTop w:val="0"/>
      <w:marBottom w:val="0"/>
      <w:divBdr>
        <w:top w:val="none" w:sz="0" w:space="0" w:color="auto"/>
        <w:left w:val="none" w:sz="0" w:space="0" w:color="auto"/>
        <w:bottom w:val="none" w:sz="0" w:space="0" w:color="auto"/>
        <w:right w:val="none" w:sz="0" w:space="0" w:color="auto"/>
      </w:divBdr>
    </w:div>
    <w:div w:id="763765800">
      <w:bodyDiv w:val="1"/>
      <w:marLeft w:val="0"/>
      <w:marRight w:val="0"/>
      <w:marTop w:val="0"/>
      <w:marBottom w:val="0"/>
      <w:divBdr>
        <w:top w:val="none" w:sz="0" w:space="0" w:color="auto"/>
        <w:left w:val="none" w:sz="0" w:space="0" w:color="auto"/>
        <w:bottom w:val="none" w:sz="0" w:space="0" w:color="auto"/>
        <w:right w:val="none" w:sz="0" w:space="0" w:color="auto"/>
      </w:divBdr>
    </w:div>
    <w:div w:id="823469607">
      <w:bodyDiv w:val="1"/>
      <w:marLeft w:val="0"/>
      <w:marRight w:val="0"/>
      <w:marTop w:val="0"/>
      <w:marBottom w:val="0"/>
      <w:divBdr>
        <w:top w:val="none" w:sz="0" w:space="0" w:color="auto"/>
        <w:left w:val="none" w:sz="0" w:space="0" w:color="auto"/>
        <w:bottom w:val="none" w:sz="0" w:space="0" w:color="auto"/>
        <w:right w:val="none" w:sz="0" w:space="0" w:color="auto"/>
      </w:divBdr>
    </w:div>
    <w:div w:id="851260282">
      <w:bodyDiv w:val="1"/>
      <w:marLeft w:val="0"/>
      <w:marRight w:val="0"/>
      <w:marTop w:val="0"/>
      <w:marBottom w:val="0"/>
      <w:divBdr>
        <w:top w:val="none" w:sz="0" w:space="0" w:color="auto"/>
        <w:left w:val="none" w:sz="0" w:space="0" w:color="auto"/>
        <w:bottom w:val="none" w:sz="0" w:space="0" w:color="auto"/>
        <w:right w:val="none" w:sz="0" w:space="0" w:color="auto"/>
      </w:divBdr>
    </w:div>
    <w:div w:id="1161851737">
      <w:bodyDiv w:val="1"/>
      <w:marLeft w:val="0"/>
      <w:marRight w:val="0"/>
      <w:marTop w:val="0"/>
      <w:marBottom w:val="0"/>
      <w:divBdr>
        <w:top w:val="none" w:sz="0" w:space="0" w:color="auto"/>
        <w:left w:val="none" w:sz="0" w:space="0" w:color="auto"/>
        <w:bottom w:val="none" w:sz="0" w:space="0" w:color="auto"/>
        <w:right w:val="none" w:sz="0" w:space="0" w:color="auto"/>
      </w:divBdr>
    </w:div>
    <w:div w:id="1660036728">
      <w:bodyDiv w:val="1"/>
      <w:marLeft w:val="0"/>
      <w:marRight w:val="0"/>
      <w:marTop w:val="0"/>
      <w:marBottom w:val="0"/>
      <w:divBdr>
        <w:top w:val="none" w:sz="0" w:space="0" w:color="auto"/>
        <w:left w:val="none" w:sz="0" w:space="0" w:color="auto"/>
        <w:bottom w:val="none" w:sz="0" w:space="0" w:color="auto"/>
        <w:right w:val="none" w:sz="0" w:space="0" w:color="auto"/>
      </w:divBdr>
    </w:div>
    <w:div w:id="1842043514">
      <w:bodyDiv w:val="1"/>
      <w:marLeft w:val="0"/>
      <w:marRight w:val="0"/>
      <w:marTop w:val="0"/>
      <w:marBottom w:val="0"/>
      <w:divBdr>
        <w:top w:val="none" w:sz="0" w:space="0" w:color="auto"/>
        <w:left w:val="none" w:sz="0" w:space="0" w:color="auto"/>
        <w:bottom w:val="none" w:sz="0" w:space="0" w:color="auto"/>
        <w:right w:val="none" w:sz="0" w:space="0" w:color="auto"/>
      </w:divBdr>
    </w:div>
    <w:div w:id="1871799521">
      <w:bodyDiv w:val="1"/>
      <w:marLeft w:val="0"/>
      <w:marRight w:val="0"/>
      <w:marTop w:val="0"/>
      <w:marBottom w:val="0"/>
      <w:divBdr>
        <w:top w:val="none" w:sz="0" w:space="0" w:color="auto"/>
        <w:left w:val="none" w:sz="0" w:space="0" w:color="auto"/>
        <w:bottom w:val="none" w:sz="0" w:space="0" w:color="auto"/>
        <w:right w:val="none" w:sz="0" w:space="0" w:color="auto"/>
      </w:divBdr>
    </w:div>
    <w:div w:id="1883516026">
      <w:bodyDiv w:val="1"/>
      <w:marLeft w:val="0"/>
      <w:marRight w:val="0"/>
      <w:marTop w:val="0"/>
      <w:marBottom w:val="0"/>
      <w:divBdr>
        <w:top w:val="none" w:sz="0" w:space="0" w:color="auto"/>
        <w:left w:val="none" w:sz="0" w:space="0" w:color="auto"/>
        <w:bottom w:val="none" w:sz="0" w:space="0" w:color="auto"/>
        <w:right w:val="none" w:sz="0" w:space="0" w:color="auto"/>
      </w:divBdr>
      <w:divsChild>
        <w:div w:id="1473400265">
          <w:marLeft w:val="0"/>
          <w:marRight w:val="0"/>
          <w:marTop w:val="0"/>
          <w:marBottom w:val="450"/>
          <w:divBdr>
            <w:top w:val="none" w:sz="0" w:space="0" w:color="auto"/>
            <w:left w:val="none" w:sz="0" w:space="0" w:color="auto"/>
            <w:bottom w:val="none" w:sz="0" w:space="0" w:color="auto"/>
            <w:right w:val="none" w:sz="0" w:space="0" w:color="auto"/>
          </w:divBdr>
          <w:divsChild>
            <w:div w:id="1740664819">
              <w:marLeft w:val="0"/>
              <w:marRight w:val="0"/>
              <w:marTop w:val="0"/>
              <w:marBottom w:val="0"/>
              <w:divBdr>
                <w:top w:val="none" w:sz="0" w:space="0" w:color="auto"/>
                <w:left w:val="none" w:sz="0" w:space="0" w:color="auto"/>
                <w:bottom w:val="none" w:sz="0" w:space="0" w:color="auto"/>
                <w:right w:val="none" w:sz="0" w:space="0" w:color="auto"/>
              </w:divBdr>
            </w:div>
          </w:divsChild>
        </w:div>
        <w:div w:id="2019229769">
          <w:marLeft w:val="0"/>
          <w:marRight w:val="0"/>
          <w:marTop w:val="0"/>
          <w:marBottom w:val="450"/>
          <w:divBdr>
            <w:top w:val="none" w:sz="0" w:space="0" w:color="auto"/>
            <w:left w:val="none" w:sz="0" w:space="0" w:color="auto"/>
            <w:bottom w:val="none" w:sz="0" w:space="0" w:color="auto"/>
            <w:right w:val="none" w:sz="0" w:space="0" w:color="auto"/>
          </w:divBdr>
          <w:divsChild>
            <w:div w:id="12286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1875">
      <w:bodyDiv w:val="1"/>
      <w:marLeft w:val="0"/>
      <w:marRight w:val="0"/>
      <w:marTop w:val="0"/>
      <w:marBottom w:val="0"/>
      <w:divBdr>
        <w:top w:val="none" w:sz="0" w:space="0" w:color="auto"/>
        <w:left w:val="none" w:sz="0" w:space="0" w:color="auto"/>
        <w:bottom w:val="none" w:sz="0" w:space="0" w:color="auto"/>
        <w:right w:val="none" w:sz="0" w:space="0" w:color="auto"/>
      </w:divBdr>
    </w:div>
    <w:div w:id="2068065036">
      <w:bodyDiv w:val="1"/>
      <w:marLeft w:val="0"/>
      <w:marRight w:val="0"/>
      <w:marTop w:val="0"/>
      <w:marBottom w:val="0"/>
      <w:divBdr>
        <w:top w:val="none" w:sz="0" w:space="0" w:color="auto"/>
        <w:left w:val="none" w:sz="0" w:space="0" w:color="auto"/>
        <w:bottom w:val="none" w:sz="0" w:space="0" w:color="auto"/>
        <w:right w:val="none" w:sz="0" w:space="0" w:color="auto"/>
      </w:divBdr>
    </w:div>
    <w:div w:id="21068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orgie.chennells@gbcsa.org.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csa.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ci.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rowthpoint.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onwen@catchword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28F59BFEE449958CE7AFDC6087AF" ma:contentTypeVersion="13" ma:contentTypeDescription="Create a new document." ma:contentTypeScope="" ma:versionID="5de204a3b0ccabbbf6b04454b612d0a4">
  <xsd:schema xmlns:xsd="http://www.w3.org/2001/XMLSchema" xmlns:xs="http://www.w3.org/2001/XMLSchema" xmlns:p="http://schemas.microsoft.com/office/2006/metadata/properties" xmlns:ns3="13e47f79-d780-4ecb-b8c7-573fcf3592c1" xmlns:ns4="ee475220-3238-4b3d-aef6-a9acf94008ef" targetNamespace="http://schemas.microsoft.com/office/2006/metadata/properties" ma:root="true" ma:fieldsID="f9ee3389f71d856c71b7d794b2376643" ns3:_="" ns4:_="">
    <xsd:import namespace="13e47f79-d780-4ecb-b8c7-573fcf3592c1"/>
    <xsd:import namespace="ee475220-3238-4b3d-aef6-a9acf94008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79-d780-4ecb-b8c7-573fcf3592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5220-3238-4b3d-aef6-a9acf9400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32CAA-103E-4AFC-A96F-47EE5579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79-d780-4ecb-b8c7-573fcf3592c1"/>
    <ds:schemaRef ds:uri="ee475220-3238-4b3d-aef6-a9acf940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1D9ED-5FC8-4D08-95BD-72A901BEC9BF}">
  <ds:schemaRefs>
    <ds:schemaRef ds:uri="http://schemas.microsoft.com/sharepoint/v3/contenttype/forms"/>
  </ds:schemaRefs>
</ds:datastoreItem>
</file>

<file path=customXml/itemProps3.xml><?xml version="1.0" encoding="utf-8"?>
<ds:datastoreItem xmlns:ds="http://schemas.openxmlformats.org/officeDocument/2006/customXml" ds:itemID="{E2C8F658-6827-4F1A-A78A-00F74C468C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zuerita</dc:creator>
  <cp:keywords/>
  <dc:description/>
  <cp:lastModifiedBy>Angie</cp:lastModifiedBy>
  <cp:revision>2</cp:revision>
  <dcterms:created xsi:type="dcterms:W3CDTF">2025-07-01T12:54:00Z</dcterms:created>
  <dcterms:modified xsi:type="dcterms:W3CDTF">2025-07-01T12:54:00Z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0x010100577628F59BFEE449958CE7AFDC6087AF</vt:lpwstr>
  </property>
  <property fmtid="{D5CDD505-2E9C-101B-9397-08002B2CF9AE}" pid="3" name="MSIP_Label_b60f8386-55a0-404e-9dce-4d5bc8b309d8_Enabled">
    <vt:lpwstr>true</vt:lpwstr>
  </property>
  <property fmtid="{D5CDD505-2E9C-101B-9397-08002B2CF9AE}" pid="4" name="MSIP_Label_b60f8386-55a0-404e-9dce-4d5bc8b309d8_SetDate">
    <vt:lpwstr>2023-05-03T12:17:36Z</vt:lpwstr>
  </property>
  <property fmtid="{D5CDD505-2E9C-101B-9397-08002B2CF9AE}" pid="5" name="MSIP_Label_b60f8386-55a0-404e-9dce-4d5bc8b309d8_Method">
    <vt:lpwstr>Standard</vt:lpwstr>
  </property>
  <property fmtid="{D5CDD505-2E9C-101B-9397-08002B2CF9AE}" pid="6" name="MSIP_Label_b60f8386-55a0-404e-9dce-4d5bc8b309d8_Name">
    <vt:lpwstr>b60f8386-55a0-404e-9dce-4d5bc8b309d8</vt:lpwstr>
  </property>
  <property fmtid="{D5CDD505-2E9C-101B-9397-08002B2CF9AE}" pid="7" name="MSIP_Label_b60f8386-55a0-404e-9dce-4d5bc8b309d8_SiteId">
    <vt:lpwstr>7a9376d4-7c43-480f-82ba-a090647f651d</vt:lpwstr>
  </property>
  <property fmtid="{D5CDD505-2E9C-101B-9397-08002B2CF9AE}" pid="8" name="MSIP_Label_b60f8386-55a0-404e-9dce-4d5bc8b309d8_ActionId">
    <vt:lpwstr>96b9d8c4-2de6-4b03-85f7-2472ddf99fd3</vt:lpwstr>
  </property>
  <property fmtid="{D5CDD505-2E9C-101B-9397-08002B2CF9AE}" pid="9" name="MSIP_Label_b60f8386-55a0-404e-9dce-4d5bc8b309d8_ContentBits">
    <vt:lpwstr>2</vt:lpwstr>
  </property>
</Properties>
</file>