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34A19" w14:textId="77777777" w:rsidR="002C0BB4" w:rsidRPr="00701C66" w:rsidRDefault="002C0BB4" w:rsidP="002C0BB4">
      <w:pPr>
        <w:pStyle w:val="PlainText"/>
        <w:spacing w:line="276" w:lineRule="auto"/>
        <w:rPr>
          <w:rFonts w:ascii="Trebuchet MS" w:hAnsi="Trebuchet MS"/>
          <w:color w:val="000000" w:themeColor="text1"/>
          <w:sz w:val="20"/>
          <w:szCs w:val="20"/>
        </w:rPr>
      </w:pPr>
      <w:r w:rsidRPr="00701C66">
        <w:rPr>
          <w:rFonts w:ascii="Trebuchet MS" w:hAnsi="Trebuchet MS"/>
          <w:color w:val="000000" w:themeColor="text1"/>
          <w:sz w:val="20"/>
          <w:szCs w:val="20"/>
        </w:rPr>
        <w:t>MEDIA RELEASE FROM GROWTHPOINT PROPERTIES</w:t>
      </w:r>
    </w:p>
    <w:p w14:paraId="2DBE6DCF" w14:textId="0DBE586E" w:rsidR="002C0BB4" w:rsidRPr="00701C66" w:rsidRDefault="00AE67D9" w:rsidP="002C0BB4">
      <w:pPr>
        <w:pStyle w:val="PlainText"/>
        <w:spacing w:line="276" w:lineRule="auto"/>
        <w:rPr>
          <w:rFonts w:ascii="Trebuchet MS" w:hAnsi="Trebuchet MS"/>
          <w:color w:val="000000" w:themeColor="text1"/>
          <w:sz w:val="20"/>
          <w:szCs w:val="20"/>
        </w:rPr>
      </w:pPr>
      <w:r w:rsidRPr="00701C66">
        <w:rPr>
          <w:rFonts w:ascii="Trebuchet MS" w:hAnsi="Trebuchet MS"/>
          <w:color w:val="000000" w:themeColor="text1"/>
          <w:sz w:val="20"/>
          <w:szCs w:val="20"/>
        </w:rPr>
        <w:t>11</w:t>
      </w:r>
      <w:r w:rsidR="002C0BB4" w:rsidRPr="00701C66">
        <w:rPr>
          <w:rFonts w:ascii="Trebuchet MS" w:hAnsi="Trebuchet MS"/>
          <w:color w:val="000000" w:themeColor="text1"/>
          <w:sz w:val="20"/>
          <w:szCs w:val="20"/>
        </w:rPr>
        <w:t xml:space="preserve"> September 202</w:t>
      </w:r>
      <w:r w:rsidRPr="00701C66">
        <w:rPr>
          <w:rFonts w:ascii="Trebuchet MS" w:hAnsi="Trebuchet MS"/>
          <w:color w:val="000000" w:themeColor="text1"/>
          <w:sz w:val="20"/>
          <w:szCs w:val="20"/>
        </w:rPr>
        <w:t>4</w:t>
      </w:r>
    </w:p>
    <w:p w14:paraId="7D877809" w14:textId="77777777" w:rsidR="002C0BB4" w:rsidRPr="00701C66" w:rsidRDefault="002C0BB4" w:rsidP="002C0BB4">
      <w:pPr>
        <w:pStyle w:val="PlainText"/>
        <w:spacing w:line="276" w:lineRule="auto"/>
        <w:rPr>
          <w:rFonts w:ascii="Trebuchet MS" w:hAnsi="Trebuchet MS"/>
          <w:color w:val="000000" w:themeColor="text1"/>
          <w:sz w:val="18"/>
          <w:szCs w:val="18"/>
        </w:rPr>
      </w:pPr>
    </w:p>
    <w:p w14:paraId="515CCE6C" w14:textId="77777777" w:rsidR="001E2ABD" w:rsidRPr="00701C66" w:rsidRDefault="001815C2" w:rsidP="001815C2">
      <w:pPr>
        <w:pStyle w:val="paragraph"/>
        <w:spacing w:before="0" w:beforeAutospacing="0" w:after="0" w:afterAutospacing="0" w:line="276" w:lineRule="auto"/>
        <w:jc w:val="center"/>
        <w:textAlignment w:val="baseline"/>
        <w:rPr>
          <w:rStyle w:val="normaltextrun"/>
          <w:rFonts w:ascii="Trebuchet MS" w:eastAsiaTheme="majorEastAsia" w:hAnsi="Trebuchet MS" w:cs="Segoe UI"/>
          <w:b/>
          <w:bCs/>
          <w:color w:val="000000"/>
          <w:sz w:val="26"/>
          <w:szCs w:val="26"/>
        </w:rPr>
      </w:pPr>
      <w:r w:rsidRPr="00701C66">
        <w:rPr>
          <w:rStyle w:val="normaltextrun"/>
          <w:rFonts w:ascii="Trebuchet MS" w:eastAsiaTheme="majorEastAsia" w:hAnsi="Trebuchet MS" w:cs="Segoe UI"/>
          <w:b/>
          <w:bCs/>
          <w:color w:val="000000"/>
          <w:sz w:val="26"/>
          <w:szCs w:val="26"/>
        </w:rPr>
        <w:t>Growthpoint reports s</w:t>
      </w:r>
      <w:r w:rsidR="002C0BB4" w:rsidRPr="00701C66">
        <w:rPr>
          <w:rStyle w:val="normaltextrun"/>
          <w:rFonts w:ascii="Trebuchet MS" w:eastAsiaTheme="majorEastAsia" w:hAnsi="Trebuchet MS" w:cs="Segoe UI"/>
          <w:b/>
          <w:bCs/>
          <w:color w:val="000000"/>
          <w:sz w:val="26"/>
          <w:szCs w:val="26"/>
        </w:rPr>
        <w:t xml:space="preserve">trong </w:t>
      </w:r>
      <w:r w:rsidRPr="00701C66">
        <w:rPr>
          <w:rStyle w:val="normaltextrun"/>
          <w:rFonts w:ascii="Trebuchet MS" w:eastAsiaTheme="majorEastAsia" w:hAnsi="Trebuchet MS" w:cs="Segoe UI"/>
          <w:b/>
          <w:bCs/>
          <w:color w:val="000000"/>
          <w:sz w:val="26"/>
          <w:szCs w:val="26"/>
        </w:rPr>
        <w:t xml:space="preserve">group-wide operational </w:t>
      </w:r>
      <w:r w:rsidR="002C0BB4" w:rsidRPr="00701C66">
        <w:rPr>
          <w:rStyle w:val="normaltextrun"/>
          <w:rFonts w:ascii="Trebuchet MS" w:eastAsiaTheme="majorEastAsia" w:hAnsi="Trebuchet MS" w:cs="Segoe UI"/>
          <w:b/>
          <w:bCs/>
          <w:color w:val="000000"/>
          <w:sz w:val="26"/>
          <w:szCs w:val="26"/>
        </w:rPr>
        <w:t xml:space="preserve">performance </w:t>
      </w:r>
    </w:p>
    <w:p w14:paraId="11B60F14" w14:textId="7AC351C4" w:rsidR="002C0BB4" w:rsidRPr="00701C66" w:rsidRDefault="006D6BE6" w:rsidP="001815C2">
      <w:pPr>
        <w:pStyle w:val="paragraph"/>
        <w:spacing w:before="0" w:beforeAutospacing="0" w:after="0" w:afterAutospacing="0" w:line="276" w:lineRule="auto"/>
        <w:jc w:val="center"/>
        <w:textAlignment w:val="baseline"/>
        <w:rPr>
          <w:rFonts w:ascii="Trebuchet MS" w:hAnsi="Trebuchet MS" w:cs="Segoe UI"/>
          <w:sz w:val="18"/>
          <w:szCs w:val="18"/>
        </w:rPr>
      </w:pPr>
      <w:r w:rsidRPr="00701C66">
        <w:rPr>
          <w:rStyle w:val="normaltextrun"/>
          <w:rFonts w:ascii="Trebuchet MS" w:eastAsiaTheme="majorEastAsia" w:hAnsi="Trebuchet MS" w:cs="Segoe UI"/>
          <w:b/>
          <w:bCs/>
          <w:color w:val="000000"/>
          <w:sz w:val="26"/>
          <w:szCs w:val="26"/>
        </w:rPr>
        <w:t xml:space="preserve">with </w:t>
      </w:r>
      <w:r w:rsidR="001E2ABD" w:rsidRPr="00701C66">
        <w:rPr>
          <w:rStyle w:val="normaltextrun"/>
          <w:rFonts w:ascii="Trebuchet MS" w:eastAsiaTheme="majorEastAsia" w:hAnsi="Trebuchet MS" w:cs="Segoe UI"/>
          <w:b/>
          <w:bCs/>
          <w:color w:val="000000"/>
          <w:sz w:val="26"/>
          <w:szCs w:val="26"/>
        </w:rPr>
        <w:t>signs of the property cycle turning positive</w:t>
      </w:r>
    </w:p>
    <w:p w14:paraId="2A472EE0" w14:textId="77777777" w:rsidR="002C0BB4" w:rsidRPr="00701C66" w:rsidRDefault="002C0BB4" w:rsidP="002C0BB4">
      <w:pPr>
        <w:spacing w:line="276" w:lineRule="auto"/>
        <w:jc w:val="both"/>
        <w:rPr>
          <w:rFonts w:ascii="Trebuchet MS" w:hAnsi="Trebuchet MS"/>
          <w:color w:val="000000" w:themeColor="text1"/>
          <w:sz w:val="20"/>
          <w:szCs w:val="20"/>
          <w:highlight w:val="yellow"/>
        </w:rPr>
      </w:pPr>
    </w:p>
    <w:p w14:paraId="169C19B0" w14:textId="7A91AC6B" w:rsidR="002C0BB4" w:rsidRPr="00701C66" w:rsidRDefault="002C0BB4" w:rsidP="007F45B9">
      <w:pPr>
        <w:spacing w:line="276" w:lineRule="auto"/>
        <w:jc w:val="both"/>
        <w:rPr>
          <w:rFonts w:ascii="Trebuchet MS" w:eastAsia="Times New Roman" w:hAnsi="Trebuchet MS" w:cs="Times New Roman"/>
          <w:b/>
          <w:bCs/>
          <w:kern w:val="0"/>
          <w:sz w:val="20"/>
          <w:szCs w:val="20"/>
          <w:lang w:eastAsia="en-GB"/>
          <w14:ligatures w14:val="none"/>
        </w:rPr>
      </w:pPr>
      <w:r w:rsidRPr="00701C66">
        <w:rPr>
          <w:rFonts w:ascii="Trebuchet MS" w:hAnsi="Trebuchet MS"/>
          <w:b/>
          <w:bCs/>
          <w:color w:val="000000" w:themeColor="text1"/>
          <w:sz w:val="20"/>
          <w:szCs w:val="20"/>
        </w:rPr>
        <w:t xml:space="preserve">Growthpoint Properties Limited (JSE: GRT) </w:t>
      </w:r>
      <w:r w:rsidRPr="00701C66">
        <w:rPr>
          <w:rFonts w:ascii="Trebuchet MS" w:eastAsia="Times New Roman" w:hAnsi="Trebuchet MS" w:cs="Times New Roman"/>
          <w:b/>
          <w:bCs/>
          <w:kern w:val="0"/>
          <w:sz w:val="20"/>
          <w:szCs w:val="20"/>
          <w:lang w:eastAsia="en-GB"/>
          <w14:ligatures w14:val="none"/>
        </w:rPr>
        <w:t xml:space="preserve">achieved robust operational results across </w:t>
      </w:r>
      <w:r w:rsidR="001815C2" w:rsidRPr="00701C66">
        <w:rPr>
          <w:rFonts w:ascii="Trebuchet MS" w:eastAsia="Times New Roman" w:hAnsi="Trebuchet MS" w:cs="Times New Roman"/>
          <w:b/>
          <w:bCs/>
          <w:kern w:val="0"/>
          <w:sz w:val="20"/>
          <w:szCs w:val="20"/>
          <w:lang w:eastAsia="en-GB"/>
          <w14:ligatures w14:val="none"/>
        </w:rPr>
        <w:t>its local and international investments</w:t>
      </w:r>
      <w:r w:rsidRPr="00701C66">
        <w:rPr>
          <w:rFonts w:ascii="Trebuchet MS" w:eastAsia="Times New Roman" w:hAnsi="Trebuchet MS" w:cs="Times New Roman"/>
          <w:b/>
          <w:bCs/>
          <w:kern w:val="0"/>
          <w:sz w:val="20"/>
          <w:szCs w:val="20"/>
          <w:lang w:eastAsia="en-GB"/>
          <w14:ligatures w14:val="none"/>
        </w:rPr>
        <w:t xml:space="preserve"> for the </w:t>
      </w:r>
      <w:r w:rsidRPr="00701C66">
        <w:rPr>
          <w:rFonts w:ascii="Trebuchet MS" w:hAnsi="Trebuchet MS"/>
          <w:b/>
          <w:bCs/>
          <w:color w:val="000000" w:themeColor="text1"/>
          <w:sz w:val="20"/>
          <w:szCs w:val="20"/>
        </w:rPr>
        <w:t>30 June 2024 financial year</w:t>
      </w:r>
      <w:r w:rsidRPr="00701C66">
        <w:rPr>
          <w:rFonts w:ascii="Trebuchet MS" w:eastAsia="Times New Roman" w:hAnsi="Trebuchet MS" w:cs="Times New Roman"/>
          <w:b/>
          <w:bCs/>
          <w:kern w:val="0"/>
          <w:sz w:val="20"/>
          <w:szCs w:val="20"/>
          <w:lang w:eastAsia="en-GB"/>
          <w14:ligatures w14:val="none"/>
        </w:rPr>
        <w:t xml:space="preserve">, with </w:t>
      </w:r>
      <w:r w:rsidR="001815C2" w:rsidRPr="00701C66">
        <w:rPr>
          <w:rFonts w:ascii="Trebuchet MS" w:eastAsia="Times New Roman" w:hAnsi="Trebuchet MS" w:cs="Times New Roman"/>
          <w:b/>
          <w:bCs/>
          <w:kern w:val="0"/>
          <w:sz w:val="20"/>
          <w:szCs w:val="20"/>
          <w:lang w:eastAsia="en-GB"/>
          <w14:ligatures w14:val="none"/>
        </w:rPr>
        <w:t xml:space="preserve">superb </w:t>
      </w:r>
      <w:r w:rsidRPr="00701C66">
        <w:rPr>
          <w:rFonts w:ascii="Trebuchet MS" w:eastAsia="Times New Roman" w:hAnsi="Trebuchet MS" w:cs="Times New Roman"/>
          <w:b/>
          <w:bCs/>
          <w:kern w:val="0"/>
          <w:sz w:val="20"/>
          <w:szCs w:val="20"/>
          <w:lang w:eastAsia="en-GB"/>
          <w14:ligatures w14:val="none"/>
        </w:rPr>
        <w:t>performance from the V&amp;A Waterfront</w:t>
      </w:r>
      <w:r w:rsidR="00171519" w:rsidRPr="00701C66">
        <w:rPr>
          <w:rFonts w:ascii="Trebuchet MS" w:eastAsia="Times New Roman" w:hAnsi="Trebuchet MS" w:cs="Times New Roman"/>
          <w:b/>
          <w:bCs/>
          <w:kern w:val="0"/>
          <w:sz w:val="20"/>
          <w:szCs w:val="20"/>
          <w:lang w:eastAsia="en-GB"/>
          <w14:ligatures w14:val="none"/>
        </w:rPr>
        <w:t xml:space="preserve">, an improved contribution from </w:t>
      </w:r>
      <w:r w:rsidR="00C16FAB" w:rsidRPr="00701C66">
        <w:rPr>
          <w:rFonts w:ascii="Trebuchet MS" w:eastAsia="Times New Roman" w:hAnsi="Trebuchet MS" w:cs="Segoe UI"/>
          <w:b/>
          <w:bCs/>
          <w:color w:val="000000"/>
          <w:sz w:val="20"/>
          <w:szCs w:val="20"/>
          <w14:ligatures w14:val="none"/>
        </w:rPr>
        <w:t>Capital &amp; Regional</w:t>
      </w:r>
      <w:r w:rsidR="00E52799">
        <w:rPr>
          <w:rFonts w:ascii="Trebuchet MS" w:eastAsia="Times New Roman" w:hAnsi="Trebuchet MS" w:cs="Segoe UI"/>
          <w:b/>
          <w:bCs/>
          <w:color w:val="000000"/>
          <w:sz w:val="20"/>
          <w:szCs w:val="20"/>
          <w14:ligatures w14:val="none"/>
        </w:rPr>
        <w:t xml:space="preserve"> (C&amp;R)</w:t>
      </w:r>
      <w:r w:rsidR="00295759">
        <w:rPr>
          <w:rFonts w:ascii="Trebuchet MS" w:eastAsia="Times New Roman" w:hAnsi="Trebuchet MS" w:cs="Segoe UI"/>
          <w:b/>
          <w:bCs/>
          <w:color w:val="000000"/>
          <w:sz w:val="20"/>
          <w:szCs w:val="20"/>
          <w14:ligatures w14:val="none"/>
        </w:rPr>
        <w:t xml:space="preserve">, </w:t>
      </w:r>
      <w:r w:rsidRPr="00701C66">
        <w:rPr>
          <w:rFonts w:ascii="Trebuchet MS" w:eastAsia="Times New Roman" w:hAnsi="Trebuchet MS" w:cs="Times New Roman"/>
          <w:b/>
          <w:bCs/>
          <w:kern w:val="0"/>
          <w:sz w:val="20"/>
          <w:szCs w:val="20"/>
          <w:lang w:eastAsia="en-GB"/>
          <w14:ligatures w14:val="none"/>
        </w:rPr>
        <w:t xml:space="preserve">and steadily improving property metrics from </w:t>
      </w:r>
      <w:r w:rsidR="001815C2" w:rsidRPr="00701C66">
        <w:rPr>
          <w:rFonts w:ascii="Trebuchet MS" w:eastAsia="Times New Roman" w:hAnsi="Trebuchet MS" w:cs="Times New Roman"/>
          <w:b/>
          <w:bCs/>
          <w:kern w:val="0"/>
          <w:sz w:val="20"/>
          <w:szCs w:val="20"/>
          <w:lang w:eastAsia="en-GB"/>
          <w14:ligatures w14:val="none"/>
        </w:rPr>
        <w:t>its stable</w:t>
      </w:r>
      <w:r w:rsidRPr="00701C66">
        <w:rPr>
          <w:rFonts w:ascii="Trebuchet MS" w:eastAsia="Times New Roman" w:hAnsi="Trebuchet MS" w:cs="Times New Roman"/>
          <w:b/>
          <w:bCs/>
          <w:kern w:val="0"/>
          <w:sz w:val="20"/>
          <w:szCs w:val="20"/>
          <w:lang w:eastAsia="en-GB"/>
          <w14:ligatures w14:val="none"/>
        </w:rPr>
        <w:t xml:space="preserve"> South African portfolio.</w:t>
      </w:r>
      <w:r w:rsidR="00E83280">
        <w:rPr>
          <w:rFonts w:ascii="Trebuchet MS" w:eastAsia="Times New Roman" w:hAnsi="Trebuchet MS" w:cs="Times New Roman"/>
          <w:b/>
          <w:bCs/>
          <w:kern w:val="0"/>
          <w:sz w:val="20"/>
          <w:szCs w:val="20"/>
          <w:lang w:eastAsia="en-GB"/>
          <w14:ligatures w14:val="none"/>
        </w:rPr>
        <w:t xml:space="preserve"> The strong operational performance has</w:t>
      </w:r>
      <w:r w:rsidR="00295759">
        <w:rPr>
          <w:rFonts w:ascii="Trebuchet MS" w:eastAsia="Times New Roman" w:hAnsi="Trebuchet MS" w:cs="Times New Roman"/>
          <w:b/>
          <w:bCs/>
          <w:kern w:val="0"/>
          <w:sz w:val="20"/>
          <w:szCs w:val="20"/>
          <w:lang w:eastAsia="en-GB"/>
          <w14:ligatures w14:val="none"/>
        </w:rPr>
        <w:t>,</w:t>
      </w:r>
      <w:r w:rsidR="00E83280">
        <w:rPr>
          <w:rFonts w:ascii="Trebuchet MS" w:eastAsia="Times New Roman" w:hAnsi="Trebuchet MS" w:cs="Times New Roman"/>
          <w:b/>
          <w:bCs/>
          <w:kern w:val="0"/>
          <w:sz w:val="20"/>
          <w:szCs w:val="20"/>
          <w:lang w:eastAsia="en-GB"/>
          <w14:ligatures w14:val="none"/>
        </w:rPr>
        <w:t xml:space="preserve"> however</w:t>
      </w:r>
      <w:r w:rsidR="00295759">
        <w:rPr>
          <w:rFonts w:ascii="Trebuchet MS" w:eastAsia="Times New Roman" w:hAnsi="Trebuchet MS" w:cs="Times New Roman"/>
          <w:b/>
          <w:bCs/>
          <w:kern w:val="0"/>
          <w:sz w:val="20"/>
          <w:szCs w:val="20"/>
          <w:lang w:eastAsia="en-GB"/>
          <w14:ligatures w14:val="none"/>
        </w:rPr>
        <w:t>,</w:t>
      </w:r>
      <w:r w:rsidR="00E83280">
        <w:rPr>
          <w:rFonts w:ascii="Trebuchet MS" w:eastAsia="Times New Roman" w:hAnsi="Trebuchet MS" w:cs="Times New Roman"/>
          <w:b/>
          <w:bCs/>
          <w:kern w:val="0"/>
          <w:sz w:val="20"/>
          <w:szCs w:val="20"/>
          <w:lang w:eastAsia="en-GB"/>
          <w14:ligatures w14:val="none"/>
        </w:rPr>
        <w:t xml:space="preserve"> been overshadowed by the negative impact of higher interest rates, lower dividends from Globalworth </w:t>
      </w:r>
      <w:r w:rsidR="00295759">
        <w:rPr>
          <w:rFonts w:ascii="Trebuchet MS" w:eastAsia="Times New Roman" w:hAnsi="Trebuchet MS" w:cs="Times New Roman"/>
          <w:b/>
          <w:bCs/>
          <w:kern w:val="0"/>
          <w:sz w:val="20"/>
          <w:szCs w:val="20"/>
          <w:lang w:eastAsia="en-GB"/>
          <w14:ligatures w14:val="none"/>
        </w:rPr>
        <w:t>Real Estate Investments</w:t>
      </w:r>
      <w:r w:rsidR="00E83280">
        <w:rPr>
          <w:rFonts w:ascii="Trebuchet MS" w:eastAsia="Times New Roman" w:hAnsi="Trebuchet MS" w:cs="Times New Roman"/>
          <w:b/>
          <w:bCs/>
          <w:kern w:val="0"/>
          <w:sz w:val="20"/>
          <w:szCs w:val="20"/>
          <w:lang w:eastAsia="en-GB"/>
          <w14:ligatures w14:val="none"/>
        </w:rPr>
        <w:t xml:space="preserve"> </w:t>
      </w:r>
      <w:r w:rsidR="00E52799">
        <w:rPr>
          <w:rFonts w:ascii="Trebuchet MS" w:eastAsia="Times New Roman" w:hAnsi="Trebuchet MS" w:cs="Times New Roman"/>
          <w:b/>
          <w:bCs/>
          <w:kern w:val="0"/>
          <w:sz w:val="20"/>
          <w:szCs w:val="20"/>
          <w:lang w:eastAsia="en-GB"/>
          <w14:ligatures w14:val="none"/>
        </w:rPr>
        <w:t xml:space="preserve">(GWI) </w:t>
      </w:r>
      <w:r w:rsidR="00E83280">
        <w:rPr>
          <w:rFonts w:ascii="Trebuchet MS" w:eastAsia="Times New Roman" w:hAnsi="Trebuchet MS" w:cs="Times New Roman"/>
          <w:b/>
          <w:bCs/>
          <w:kern w:val="0"/>
          <w:sz w:val="20"/>
          <w:szCs w:val="20"/>
          <w:lang w:eastAsia="en-GB"/>
          <w14:ligatures w14:val="none"/>
        </w:rPr>
        <w:t>and reduced profit from</w:t>
      </w:r>
      <w:r w:rsidR="00AB4ACA">
        <w:rPr>
          <w:rFonts w:ascii="Trebuchet MS" w:eastAsia="Times New Roman" w:hAnsi="Trebuchet MS" w:cs="Times New Roman"/>
          <w:b/>
          <w:bCs/>
          <w:kern w:val="0"/>
          <w:sz w:val="20"/>
          <w:szCs w:val="20"/>
          <w:lang w:eastAsia="en-GB"/>
          <w14:ligatures w14:val="none"/>
        </w:rPr>
        <w:t xml:space="preserve"> the South African t</w:t>
      </w:r>
      <w:r w:rsidR="00E83280">
        <w:rPr>
          <w:rFonts w:ascii="Trebuchet MS" w:eastAsia="Times New Roman" w:hAnsi="Trebuchet MS" w:cs="Times New Roman"/>
          <w:b/>
          <w:bCs/>
          <w:kern w:val="0"/>
          <w:sz w:val="20"/>
          <w:szCs w:val="20"/>
          <w:lang w:eastAsia="en-GB"/>
          <w14:ligatures w14:val="none"/>
        </w:rPr>
        <w:t xml:space="preserve">rading </w:t>
      </w:r>
      <w:r w:rsidR="00295759">
        <w:rPr>
          <w:rFonts w:ascii="Trebuchet MS" w:eastAsia="Times New Roman" w:hAnsi="Trebuchet MS" w:cs="Times New Roman"/>
          <w:b/>
          <w:bCs/>
          <w:kern w:val="0"/>
          <w:sz w:val="20"/>
          <w:szCs w:val="20"/>
          <w:lang w:eastAsia="en-GB"/>
          <w14:ligatures w14:val="none"/>
        </w:rPr>
        <w:t>and</w:t>
      </w:r>
      <w:r w:rsidR="00E83280">
        <w:rPr>
          <w:rFonts w:ascii="Trebuchet MS" w:eastAsia="Times New Roman" w:hAnsi="Trebuchet MS" w:cs="Times New Roman"/>
          <w:b/>
          <w:bCs/>
          <w:kern w:val="0"/>
          <w:sz w:val="20"/>
          <w:szCs w:val="20"/>
          <w:lang w:eastAsia="en-GB"/>
          <w14:ligatures w14:val="none"/>
        </w:rPr>
        <w:t xml:space="preserve"> </w:t>
      </w:r>
      <w:r w:rsidR="00AB4ACA">
        <w:rPr>
          <w:rFonts w:ascii="Trebuchet MS" w:eastAsia="Times New Roman" w:hAnsi="Trebuchet MS" w:cs="Times New Roman"/>
          <w:b/>
          <w:bCs/>
          <w:kern w:val="0"/>
          <w:sz w:val="20"/>
          <w:szCs w:val="20"/>
          <w:lang w:eastAsia="en-GB"/>
          <w14:ligatures w14:val="none"/>
        </w:rPr>
        <w:t>d</w:t>
      </w:r>
      <w:r w:rsidR="00E83280">
        <w:rPr>
          <w:rFonts w:ascii="Trebuchet MS" w:eastAsia="Times New Roman" w:hAnsi="Trebuchet MS" w:cs="Times New Roman"/>
          <w:b/>
          <w:bCs/>
          <w:kern w:val="0"/>
          <w:sz w:val="20"/>
          <w:szCs w:val="20"/>
          <w:lang w:eastAsia="en-GB"/>
          <w14:ligatures w14:val="none"/>
        </w:rPr>
        <w:t>evelopment</w:t>
      </w:r>
      <w:r w:rsidR="00AB4ACA">
        <w:rPr>
          <w:rFonts w:ascii="Trebuchet MS" w:eastAsia="Times New Roman" w:hAnsi="Trebuchet MS" w:cs="Times New Roman"/>
          <w:b/>
          <w:bCs/>
          <w:kern w:val="0"/>
          <w:sz w:val="20"/>
          <w:szCs w:val="20"/>
          <w:lang w:eastAsia="en-GB"/>
          <w14:ligatures w14:val="none"/>
        </w:rPr>
        <w:t xml:space="preserve"> division</w:t>
      </w:r>
      <w:r w:rsidR="00E83280">
        <w:rPr>
          <w:rFonts w:ascii="Trebuchet MS" w:eastAsia="Times New Roman" w:hAnsi="Trebuchet MS" w:cs="Times New Roman"/>
          <w:b/>
          <w:bCs/>
          <w:kern w:val="0"/>
          <w:sz w:val="20"/>
          <w:szCs w:val="20"/>
          <w:lang w:eastAsia="en-GB"/>
          <w14:ligatures w14:val="none"/>
        </w:rPr>
        <w:t>, leaving distributable income down 10% in line with guidance provided to the market.</w:t>
      </w:r>
    </w:p>
    <w:p w14:paraId="6C1CE7B1" w14:textId="77777777" w:rsidR="002C0BB4" w:rsidRPr="00701C66" w:rsidRDefault="002C0BB4" w:rsidP="007F45B9">
      <w:pPr>
        <w:spacing w:line="276" w:lineRule="auto"/>
        <w:jc w:val="both"/>
        <w:textAlignment w:val="baseline"/>
        <w:rPr>
          <w:rFonts w:ascii="Trebuchet MS" w:eastAsia="Times New Roman" w:hAnsi="Trebuchet MS" w:cs="Segoe UI"/>
          <w:sz w:val="20"/>
          <w:szCs w:val="20"/>
          <w14:ligatures w14:val="none"/>
        </w:rPr>
      </w:pPr>
    </w:p>
    <w:p w14:paraId="71983640" w14:textId="34EE04D1" w:rsidR="007F45B9" w:rsidRPr="00701C66" w:rsidRDefault="007F45B9" w:rsidP="007F45B9">
      <w:pPr>
        <w:pStyle w:val="PlainText"/>
        <w:spacing w:line="276" w:lineRule="auto"/>
        <w:jc w:val="both"/>
        <w:rPr>
          <w:rFonts w:ascii="Trebuchet MS" w:hAnsi="Trebuchet MS"/>
          <w:i/>
          <w:iCs/>
          <w:sz w:val="20"/>
          <w:szCs w:val="20"/>
        </w:rPr>
      </w:pPr>
      <w:r w:rsidRPr="00701C66">
        <w:rPr>
          <w:rFonts w:ascii="Trebuchet MS" w:hAnsi="Trebuchet MS"/>
          <w:sz w:val="20"/>
          <w:szCs w:val="20"/>
        </w:rPr>
        <w:t xml:space="preserve">Norbert Sasse, Group CEO of Growthpoint Properties, comments, </w:t>
      </w:r>
      <w:r w:rsidRPr="00701C66">
        <w:rPr>
          <w:rFonts w:ascii="Trebuchet MS" w:hAnsi="Trebuchet MS"/>
          <w:i/>
          <w:iCs/>
          <w:sz w:val="20"/>
          <w:szCs w:val="20"/>
        </w:rPr>
        <w:t>“The</w:t>
      </w:r>
      <w:r w:rsidR="002C38C3" w:rsidRPr="00701C66">
        <w:rPr>
          <w:rFonts w:ascii="Trebuchet MS" w:hAnsi="Trebuchet MS"/>
          <w:i/>
          <w:iCs/>
          <w:sz w:val="20"/>
          <w:szCs w:val="20"/>
        </w:rPr>
        <w:t xml:space="preserve"> improvement in our domestic portfolio’s property fundamentals and the strong operational </w:t>
      </w:r>
      <w:r w:rsidR="00CC10F8" w:rsidRPr="00701C66">
        <w:rPr>
          <w:rFonts w:ascii="Trebuchet MS" w:hAnsi="Trebuchet MS"/>
          <w:i/>
          <w:iCs/>
          <w:sz w:val="20"/>
          <w:szCs w:val="20"/>
        </w:rPr>
        <w:t>pe</w:t>
      </w:r>
      <w:r w:rsidR="0015318A" w:rsidRPr="00701C66">
        <w:rPr>
          <w:rFonts w:ascii="Trebuchet MS" w:hAnsi="Trebuchet MS"/>
          <w:i/>
          <w:iCs/>
          <w:sz w:val="20"/>
          <w:szCs w:val="20"/>
        </w:rPr>
        <w:t>r</w:t>
      </w:r>
      <w:r w:rsidR="00CC10F8" w:rsidRPr="00701C66">
        <w:rPr>
          <w:rFonts w:ascii="Trebuchet MS" w:hAnsi="Trebuchet MS"/>
          <w:i/>
          <w:iCs/>
          <w:sz w:val="20"/>
          <w:szCs w:val="20"/>
        </w:rPr>
        <w:t xml:space="preserve">formance </w:t>
      </w:r>
      <w:r w:rsidR="002C38C3" w:rsidRPr="00701C66">
        <w:rPr>
          <w:rFonts w:ascii="Trebuchet MS" w:hAnsi="Trebuchet MS"/>
          <w:i/>
          <w:iCs/>
          <w:sz w:val="20"/>
          <w:szCs w:val="20"/>
        </w:rPr>
        <w:t>of our international investments, indicate that we</w:t>
      </w:r>
      <w:r w:rsidR="002012A7" w:rsidRPr="00701C66">
        <w:rPr>
          <w:rFonts w:ascii="Trebuchet MS" w:hAnsi="Trebuchet MS"/>
          <w:i/>
          <w:iCs/>
          <w:sz w:val="20"/>
          <w:szCs w:val="20"/>
        </w:rPr>
        <w:t xml:space="preserve"> may</w:t>
      </w:r>
      <w:r w:rsidR="002C38C3" w:rsidRPr="00701C66">
        <w:rPr>
          <w:rFonts w:ascii="Trebuchet MS" w:hAnsi="Trebuchet MS"/>
          <w:i/>
          <w:iCs/>
          <w:sz w:val="20"/>
          <w:szCs w:val="20"/>
        </w:rPr>
        <w:t xml:space="preserve"> hav</w:t>
      </w:r>
      <w:r w:rsidR="006E0C2D" w:rsidRPr="00701C66">
        <w:rPr>
          <w:rFonts w:ascii="Trebuchet MS" w:hAnsi="Trebuchet MS"/>
          <w:i/>
          <w:iCs/>
          <w:sz w:val="20"/>
          <w:szCs w:val="20"/>
        </w:rPr>
        <w:t>e passed the lowest point of the curve and are now seeing signs of improvement.</w:t>
      </w:r>
      <w:r w:rsidRPr="00701C66">
        <w:rPr>
          <w:rFonts w:ascii="Trebuchet MS" w:hAnsi="Trebuchet MS"/>
          <w:i/>
          <w:iCs/>
          <w:sz w:val="20"/>
          <w:szCs w:val="20"/>
        </w:rPr>
        <w:t xml:space="preserve"> We successfully progressed the company’s strategic initiatives in a year that was as tough as ever but ended with brighter prospects on the horizon.”</w:t>
      </w:r>
    </w:p>
    <w:p w14:paraId="7766177A" w14:textId="77777777" w:rsidR="007F45B9" w:rsidRPr="00701C66" w:rsidRDefault="007F45B9" w:rsidP="007F45B9">
      <w:pPr>
        <w:pStyle w:val="PlainText"/>
        <w:spacing w:line="276" w:lineRule="auto"/>
        <w:jc w:val="both"/>
        <w:rPr>
          <w:rFonts w:ascii="Trebuchet MS" w:hAnsi="Trebuchet MS"/>
          <w:sz w:val="20"/>
          <w:szCs w:val="20"/>
        </w:rPr>
      </w:pPr>
    </w:p>
    <w:p w14:paraId="229FA89F" w14:textId="47506FDF" w:rsidR="007F45B9" w:rsidRPr="00701C66" w:rsidRDefault="007F45B9" w:rsidP="007F45B9">
      <w:pPr>
        <w:pStyle w:val="PlainText"/>
        <w:spacing w:line="276" w:lineRule="auto"/>
        <w:jc w:val="both"/>
        <w:rPr>
          <w:rFonts w:ascii="Trebuchet MS" w:hAnsi="Trebuchet MS"/>
          <w:i/>
          <w:iCs/>
          <w:sz w:val="20"/>
          <w:szCs w:val="20"/>
        </w:rPr>
      </w:pPr>
      <w:r w:rsidRPr="00701C66">
        <w:rPr>
          <w:rFonts w:ascii="Trebuchet MS" w:hAnsi="Trebuchet MS"/>
          <w:sz w:val="20"/>
          <w:szCs w:val="20"/>
        </w:rPr>
        <w:t xml:space="preserve">Sasse notes that post-election, there is a more bullish feeling overall. </w:t>
      </w:r>
      <w:r w:rsidRPr="00701C66">
        <w:rPr>
          <w:rFonts w:ascii="Trebuchet MS" w:hAnsi="Trebuchet MS"/>
          <w:i/>
          <w:iCs/>
          <w:sz w:val="20"/>
          <w:szCs w:val="20"/>
        </w:rPr>
        <w:t>“There is undoubtedly a greater sense of positivity</w:t>
      </w:r>
      <w:r w:rsidR="00284C03">
        <w:rPr>
          <w:rFonts w:ascii="Trebuchet MS" w:hAnsi="Trebuchet MS"/>
          <w:i/>
          <w:iCs/>
          <w:sz w:val="20"/>
          <w:szCs w:val="20"/>
        </w:rPr>
        <w:t>,</w:t>
      </w:r>
      <w:r w:rsidR="00E83280">
        <w:rPr>
          <w:rFonts w:ascii="Trebuchet MS" w:hAnsi="Trebuchet MS"/>
          <w:i/>
          <w:iCs/>
          <w:sz w:val="20"/>
          <w:szCs w:val="20"/>
        </w:rPr>
        <w:t xml:space="preserve"> which</w:t>
      </w:r>
      <w:r w:rsidR="00BB6104" w:rsidRPr="00701C66">
        <w:rPr>
          <w:rFonts w:ascii="Trebuchet MS" w:hAnsi="Trebuchet MS"/>
          <w:i/>
          <w:iCs/>
          <w:sz w:val="20"/>
          <w:szCs w:val="20"/>
        </w:rPr>
        <w:t xml:space="preserve"> has resulted in a rise in foreign investment in</w:t>
      </w:r>
      <w:r w:rsidR="00284C03">
        <w:rPr>
          <w:rFonts w:ascii="Trebuchet MS" w:hAnsi="Trebuchet MS"/>
          <w:i/>
          <w:iCs/>
          <w:sz w:val="20"/>
          <w:szCs w:val="20"/>
        </w:rPr>
        <w:t xml:space="preserve"> S</w:t>
      </w:r>
      <w:r w:rsidR="00E83280">
        <w:rPr>
          <w:rFonts w:ascii="Trebuchet MS" w:hAnsi="Trebuchet MS"/>
          <w:i/>
          <w:iCs/>
          <w:sz w:val="20"/>
          <w:szCs w:val="20"/>
        </w:rPr>
        <w:t>A</w:t>
      </w:r>
      <w:r w:rsidR="00BB6104" w:rsidRPr="00701C66">
        <w:rPr>
          <w:rFonts w:ascii="Trebuchet MS" w:hAnsi="Trebuchet MS"/>
          <w:i/>
          <w:iCs/>
          <w:sz w:val="20"/>
          <w:szCs w:val="20"/>
        </w:rPr>
        <w:t xml:space="preserve"> bonds and </w:t>
      </w:r>
      <w:r w:rsidR="00F8313B" w:rsidRPr="00701C66">
        <w:rPr>
          <w:rFonts w:ascii="Trebuchet MS" w:hAnsi="Trebuchet MS"/>
          <w:i/>
          <w:iCs/>
          <w:sz w:val="20"/>
          <w:szCs w:val="20"/>
        </w:rPr>
        <w:t>equities and</w:t>
      </w:r>
      <w:r w:rsidR="008525B0" w:rsidRPr="00701C66">
        <w:rPr>
          <w:rFonts w:ascii="Trebuchet MS" w:hAnsi="Trebuchet MS"/>
          <w:i/>
          <w:iCs/>
          <w:sz w:val="20"/>
          <w:szCs w:val="20"/>
        </w:rPr>
        <w:t xml:space="preserve"> </w:t>
      </w:r>
      <w:r w:rsidRPr="00701C66">
        <w:rPr>
          <w:rFonts w:ascii="Trebuchet MS" w:hAnsi="Trebuchet MS"/>
          <w:i/>
          <w:iCs/>
          <w:sz w:val="20"/>
          <w:szCs w:val="20"/>
        </w:rPr>
        <w:t>will become more evident in the property sector as higher interest rates start working their way out of debt-servicing costs.”</w:t>
      </w:r>
    </w:p>
    <w:p w14:paraId="1D6CA1F5" w14:textId="77777777" w:rsidR="00287834" w:rsidRPr="00287834" w:rsidRDefault="00287834" w:rsidP="00FB1517">
      <w:pPr>
        <w:pStyle w:val="PlainText"/>
        <w:spacing w:line="276" w:lineRule="auto"/>
        <w:jc w:val="both"/>
        <w:rPr>
          <w:rFonts w:ascii="Trebuchet MS" w:hAnsi="Trebuchet MS"/>
          <w:sz w:val="20"/>
          <w:szCs w:val="20"/>
        </w:rPr>
      </w:pPr>
    </w:p>
    <w:p w14:paraId="3999071E" w14:textId="5D367F22" w:rsidR="00287834" w:rsidRPr="00287834" w:rsidRDefault="00287834" w:rsidP="00287834">
      <w:pPr>
        <w:pStyle w:val="PlainText"/>
        <w:spacing w:line="276" w:lineRule="auto"/>
        <w:jc w:val="both"/>
        <w:rPr>
          <w:rFonts w:ascii="Trebuchet MS" w:hAnsi="Trebuchet MS"/>
          <w:i/>
          <w:iCs/>
          <w:sz w:val="20"/>
          <w:szCs w:val="20"/>
        </w:rPr>
      </w:pPr>
      <w:r w:rsidRPr="00287834">
        <w:rPr>
          <w:rFonts w:ascii="Trebuchet MS" w:hAnsi="Trebuchet MS"/>
          <w:sz w:val="20"/>
          <w:szCs w:val="20"/>
        </w:rPr>
        <w:t xml:space="preserve">Sasse adds, </w:t>
      </w:r>
      <w:r w:rsidRPr="00287834">
        <w:rPr>
          <w:rFonts w:ascii="Trebuchet MS" w:hAnsi="Trebuchet MS"/>
          <w:i/>
          <w:iCs/>
          <w:sz w:val="20"/>
          <w:szCs w:val="20"/>
        </w:rPr>
        <w:t xml:space="preserve">“Interest rates are anticipated to come down, and the effect of this is likely to start showing in our business from the second half of FY25. Nevertheless, the ongoing refinancing of interest rate swaps and cross-currency interest rate swaps at significantly higher rates continues to remain a challenge for </w:t>
      </w:r>
      <w:r w:rsidR="005723B1">
        <w:rPr>
          <w:rFonts w:ascii="Trebuchet MS" w:hAnsi="Trebuchet MS"/>
          <w:i/>
          <w:iCs/>
          <w:sz w:val="20"/>
          <w:szCs w:val="20"/>
        </w:rPr>
        <w:t>earnings growth</w:t>
      </w:r>
      <w:r w:rsidRPr="00287834">
        <w:rPr>
          <w:rFonts w:ascii="Trebuchet MS" w:hAnsi="Trebuchet MS"/>
          <w:i/>
          <w:iCs/>
          <w:sz w:val="20"/>
          <w:szCs w:val="20"/>
        </w:rPr>
        <w:t>.”</w:t>
      </w:r>
    </w:p>
    <w:p w14:paraId="621494A1" w14:textId="77777777" w:rsidR="007F45B9" w:rsidRPr="00287834" w:rsidRDefault="007F45B9" w:rsidP="007F45B9">
      <w:pPr>
        <w:pStyle w:val="PlainText"/>
        <w:spacing w:line="276" w:lineRule="auto"/>
        <w:jc w:val="both"/>
        <w:rPr>
          <w:rFonts w:ascii="Trebuchet MS" w:hAnsi="Trebuchet MS"/>
          <w:sz w:val="20"/>
          <w:szCs w:val="20"/>
        </w:rPr>
      </w:pPr>
    </w:p>
    <w:p w14:paraId="361E9FC9" w14:textId="7D77A34F" w:rsidR="00197996" w:rsidRPr="00287834" w:rsidRDefault="007F45B9" w:rsidP="007F45B9">
      <w:pPr>
        <w:pStyle w:val="PlainText"/>
        <w:spacing w:line="276" w:lineRule="auto"/>
        <w:jc w:val="both"/>
        <w:rPr>
          <w:rFonts w:ascii="Trebuchet MS" w:hAnsi="Trebuchet MS"/>
          <w:sz w:val="20"/>
          <w:szCs w:val="20"/>
        </w:rPr>
      </w:pPr>
      <w:r w:rsidRPr="00287834">
        <w:rPr>
          <w:rFonts w:ascii="Trebuchet MS" w:hAnsi="Trebuchet MS"/>
          <w:sz w:val="20"/>
          <w:szCs w:val="20"/>
        </w:rPr>
        <w:t>In line with this, the solid operational performances produced by Growthpoint’s direct and indirect investments</w:t>
      </w:r>
      <w:r w:rsidR="00263A40" w:rsidRPr="00287834">
        <w:rPr>
          <w:rFonts w:ascii="Trebuchet MS" w:hAnsi="Trebuchet MS"/>
          <w:sz w:val="20"/>
          <w:szCs w:val="20"/>
        </w:rPr>
        <w:t xml:space="preserve"> in FY24</w:t>
      </w:r>
      <w:r w:rsidRPr="00287834">
        <w:rPr>
          <w:rFonts w:ascii="Trebuchet MS" w:hAnsi="Trebuchet MS"/>
          <w:sz w:val="20"/>
          <w:szCs w:val="20"/>
        </w:rPr>
        <w:t xml:space="preserve">, remained overshadowed by higher interest rates globally. Growthpoint will distribute a total dividend per share (DPS) of 117.1cps, 10% down from the prior year, based on a payout ratio of 82.5%. </w:t>
      </w:r>
      <w:r w:rsidR="005E7588" w:rsidRPr="00287834">
        <w:rPr>
          <w:rFonts w:ascii="Trebuchet MS" w:hAnsi="Trebuchet MS"/>
          <w:sz w:val="20"/>
          <w:szCs w:val="20"/>
        </w:rPr>
        <w:t xml:space="preserve">Total property assets decreased by 2.8% to R174.7bn at </w:t>
      </w:r>
      <w:r w:rsidR="00B71E68">
        <w:rPr>
          <w:rFonts w:ascii="Trebuchet MS" w:hAnsi="Trebuchet MS"/>
          <w:sz w:val="20"/>
          <w:szCs w:val="20"/>
        </w:rPr>
        <w:t xml:space="preserve">year </w:t>
      </w:r>
      <w:proofErr w:type="gramStart"/>
      <w:r w:rsidR="00B71E68">
        <w:rPr>
          <w:rFonts w:ascii="Trebuchet MS" w:hAnsi="Trebuchet MS"/>
          <w:sz w:val="20"/>
          <w:szCs w:val="20"/>
        </w:rPr>
        <w:t>end.</w:t>
      </w:r>
      <w:r w:rsidR="005E7588" w:rsidRPr="00287834">
        <w:rPr>
          <w:rFonts w:ascii="Trebuchet MS" w:hAnsi="Trebuchet MS"/>
          <w:sz w:val="20"/>
          <w:szCs w:val="20"/>
        </w:rPr>
        <w:t>.</w:t>
      </w:r>
      <w:proofErr w:type="gramEnd"/>
    </w:p>
    <w:p w14:paraId="64288553" w14:textId="77777777" w:rsidR="00E02F7A" w:rsidRPr="00701C66" w:rsidRDefault="00E02F7A" w:rsidP="007F45B9">
      <w:pPr>
        <w:pStyle w:val="PlainText"/>
        <w:spacing w:line="276" w:lineRule="auto"/>
        <w:jc w:val="both"/>
        <w:rPr>
          <w:rFonts w:ascii="Trebuchet MS" w:hAnsi="Trebuchet MS"/>
          <w:sz w:val="20"/>
          <w:szCs w:val="20"/>
          <w:highlight w:val="yellow"/>
        </w:rPr>
      </w:pPr>
    </w:p>
    <w:p w14:paraId="141B5D12" w14:textId="71C100DC" w:rsidR="007F45B9" w:rsidRDefault="008511C9" w:rsidP="007F45B9">
      <w:pPr>
        <w:pStyle w:val="PlainText"/>
        <w:spacing w:line="276" w:lineRule="auto"/>
        <w:jc w:val="both"/>
        <w:rPr>
          <w:rFonts w:ascii="Trebuchet MS" w:hAnsi="Trebuchet MS"/>
          <w:sz w:val="20"/>
          <w:szCs w:val="20"/>
          <w:lang w:val="en-US"/>
        </w:rPr>
      </w:pPr>
      <w:r>
        <w:rPr>
          <w:rFonts w:ascii="Trebuchet MS" w:hAnsi="Trebuchet MS"/>
          <w:sz w:val="20"/>
          <w:szCs w:val="20"/>
          <w:lang w:val="en-US"/>
        </w:rPr>
        <w:t>Growthpoint’s</w:t>
      </w:r>
      <w:r w:rsidRPr="00A12E6C">
        <w:rPr>
          <w:rFonts w:ascii="Trebuchet MS" w:hAnsi="Trebuchet MS"/>
          <w:sz w:val="20"/>
          <w:szCs w:val="20"/>
          <w:lang w:val="en-US"/>
        </w:rPr>
        <w:t xml:space="preserve"> diversified portfolio and income streams position </w:t>
      </w:r>
      <w:r>
        <w:rPr>
          <w:rFonts w:ascii="Trebuchet MS" w:hAnsi="Trebuchet MS"/>
          <w:sz w:val="20"/>
          <w:szCs w:val="20"/>
          <w:lang w:val="en-US"/>
        </w:rPr>
        <w:t>it</w:t>
      </w:r>
      <w:r w:rsidRPr="00A12E6C">
        <w:rPr>
          <w:rFonts w:ascii="Trebuchet MS" w:hAnsi="Trebuchet MS"/>
          <w:sz w:val="20"/>
          <w:szCs w:val="20"/>
          <w:lang w:val="en-US"/>
        </w:rPr>
        <w:t xml:space="preserve"> defensively for FY25. The improvement in </w:t>
      </w:r>
      <w:r>
        <w:rPr>
          <w:rFonts w:ascii="Trebuchet MS" w:hAnsi="Trebuchet MS"/>
          <w:sz w:val="20"/>
          <w:szCs w:val="20"/>
          <w:lang w:val="en-US"/>
        </w:rPr>
        <w:t>its</w:t>
      </w:r>
      <w:r w:rsidRPr="00A12E6C">
        <w:rPr>
          <w:rFonts w:ascii="Trebuchet MS" w:hAnsi="Trebuchet MS"/>
          <w:sz w:val="20"/>
          <w:szCs w:val="20"/>
          <w:lang w:val="en-US"/>
        </w:rPr>
        <w:t xml:space="preserve"> domestic portfolio’s property fundamentals and the strong fundamentals of </w:t>
      </w:r>
      <w:r>
        <w:rPr>
          <w:rFonts w:ascii="Trebuchet MS" w:hAnsi="Trebuchet MS"/>
          <w:sz w:val="20"/>
          <w:szCs w:val="20"/>
          <w:lang w:val="en-US"/>
        </w:rPr>
        <w:t xml:space="preserve">its </w:t>
      </w:r>
      <w:r w:rsidRPr="00A12E6C">
        <w:rPr>
          <w:rFonts w:ascii="Trebuchet MS" w:hAnsi="Trebuchet MS"/>
          <w:sz w:val="20"/>
          <w:szCs w:val="20"/>
          <w:lang w:val="en-US"/>
        </w:rPr>
        <w:t xml:space="preserve">international </w:t>
      </w:r>
      <w:r w:rsidR="00284C03" w:rsidRPr="00A12E6C">
        <w:rPr>
          <w:rFonts w:ascii="Trebuchet MS" w:hAnsi="Trebuchet MS"/>
          <w:sz w:val="20"/>
          <w:szCs w:val="20"/>
          <w:lang w:val="en-US"/>
        </w:rPr>
        <w:t>investments</w:t>
      </w:r>
      <w:r w:rsidRPr="00A12E6C">
        <w:rPr>
          <w:rFonts w:ascii="Trebuchet MS" w:hAnsi="Trebuchet MS"/>
          <w:sz w:val="20"/>
          <w:szCs w:val="20"/>
          <w:lang w:val="en-US"/>
        </w:rPr>
        <w:t xml:space="preserve"> indicate the bottom of the property cycle. </w:t>
      </w:r>
      <w:r w:rsidRPr="006169E2">
        <w:rPr>
          <w:rFonts w:ascii="Trebuchet MS" w:hAnsi="Trebuchet MS"/>
          <w:sz w:val="20"/>
          <w:szCs w:val="20"/>
          <w:lang w:val="en-US"/>
        </w:rPr>
        <w:t>It is</w:t>
      </w:r>
      <w:r w:rsidR="00B71E68">
        <w:rPr>
          <w:rFonts w:ascii="Trebuchet MS" w:hAnsi="Trebuchet MS"/>
          <w:sz w:val="20"/>
          <w:szCs w:val="20"/>
          <w:lang w:val="en-US"/>
        </w:rPr>
        <w:t>,</w:t>
      </w:r>
      <w:r w:rsidRPr="006169E2">
        <w:rPr>
          <w:rFonts w:ascii="Trebuchet MS" w:hAnsi="Trebuchet MS"/>
          <w:sz w:val="20"/>
          <w:szCs w:val="20"/>
          <w:lang w:val="en-US"/>
        </w:rPr>
        <w:t xml:space="preserve"> however</w:t>
      </w:r>
      <w:r w:rsidR="00B71E68">
        <w:rPr>
          <w:rFonts w:ascii="Trebuchet MS" w:hAnsi="Trebuchet MS"/>
          <w:sz w:val="20"/>
          <w:szCs w:val="20"/>
          <w:lang w:val="en-US"/>
        </w:rPr>
        <w:t>,</w:t>
      </w:r>
      <w:r w:rsidRPr="006169E2">
        <w:rPr>
          <w:rFonts w:ascii="Trebuchet MS" w:hAnsi="Trebuchet MS"/>
          <w:sz w:val="20"/>
          <w:szCs w:val="20"/>
          <w:lang w:val="en-US"/>
        </w:rPr>
        <w:t xml:space="preserve"> important to </w:t>
      </w:r>
      <w:proofErr w:type="spellStart"/>
      <w:r w:rsidRPr="006169E2">
        <w:rPr>
          <w:rFonts w:ascii="Trebuchet MS" w:hAnsi="Trebuchet MS"/>
          <w:sz w:val="20"/>
          <w:szCs w:val="20"/>
          <w:lang w:val="en-US"/>
        </w:rPr>
        <w:t>recogni</w:t>
      </w:r>
      <w:r w:rsidR="00A76192">
        <w:rPr>
          <w:rFonts w:ascii="Trebuchet MS" w:hAnsi="Trebuchet MS"/>
          <w:sz w:val="20"/>
          <w:szCs w:val="20"/>
          <w:lang w:val="en-US"/>
        </w:rPr>
        <w:t>s</w:t>
      </w:r>
      <w:r w:rsidRPr="006169E2">
        <w:rPr>
          <w:rFonts w:ascii="Trebuchet MS" w:hAnsi="Trebuchet MS"/>
          <w:sz w:val="20"/>
          <w:szCs w:val="20"/>
          <w:lang w:val="en-US"/>
        </w:rPr>
        <w:t>e</w:t>
      </w:r>
      <w:proofErr w:type="spellEnd"/>
      <w:r w:rsidRPr="006169E2">
        <w:rPr>
          <w:rFonts w:ascii="Trebuchet MS" w:hAnsi="Trebuchet MS"/>
          <w:sz w:val="20"/>
          <w:szCs w:val="20"/>
          <w:lang w:val="en-US"/>
        </w:rPr>
        <w:t xml:space="preserve"> that the ongoing impact of high interest rates, both locally and domestically, remains a challenge for </w:t>
      </w:r>
      <w:r w:rsidR="00A76192">
        <w:rPr>
          <w:rFonts w:ascii="Trebuchet MS" w:hAnsi="Trebuchet MS"/>
          <w:sz w:val="20"/>
          <w:szCs w:val="20"/>
          <w:lang w:val="en-US"/>
        </w:rPr>
        <w:t>distributable income per share (</w:t>
      </w:r>
      <w:r w:rsidRPr="006169E2">
        <w:rPr>
          <w:rFonts w:ascii="Trebuchet MS" w:hAnsi="Trebuchet MS"/>
          <w:sz w:val="20"/>
          <w:szCs w:val="20"/>
          <w:lang w:val="en-US"/>
        </w:rPr>
        <w:t>DIPS</w:t>
      </w:r>
      <w:r w:rsidR="00A76192">
        <w:rPr>
          <w:rFonts w:ascii="Trebuchet MS" w:hAnsi="Trebuchet MS"/>
          <w:sz w:val="20"/>
          <w:szCs w:val="20"/>
          <w:lang w:val="en-US"/>
        </w:rPr>
        <w:t>)</w:t>
      </w:r>
      <w:r w:rsidRPr="006169E2">
        <w:rPr>
          <w:rFonts w:ascii="Trebuchet MS" w:hAnsi="Trebuchet MS"/>
          <w:sz w:val="20"/>
          <w:szCs w:val="20"/>
          <w:lang w:val="en-US"/>
        </w:rPr>
        <w:t xml:space="preserve"> growth in FY25, which is expected to decline by 2% to 5%. As </w:t>
      </w:r>
      <w:r w:rsidR="00CA3901">
        <w:rPr>
          <w:rFonts w:ascii="Trebuchet MS" w:hAnsi="Trebuchet MS"/>
          <w:sz w:val="20"/>
          <w:szCs w:val="20"/>
          <w:lang w:val="en-US"/>
        </w:rPr>
        <w:t>Growthpoint</w:t>
      </w:r>
      <w:r w:rsidRPr="006169E2">
        <w:rPr>
          <w:rFonts w:ascii="Trebuchet MS" w:hAnsi="Trebuchet MS"/>
          <w:sz w:val="20"/>
          <w:szCs w:val="20"/>
          <w:lang w:val="en-US"/>
        </w:rPr>
        <w:t xml:space="preserve"> assess</w:t>
      </w:r>
      <w:r w:rsidR="00DB3041">
        <w:rPr>
          <w:rFonts w:ascii="Trebuchet MS" w:hAnsi="Trebuchet MS"/>
          <w:sz w:val="20"/>
          <w:szCs w:val="20"/>
          <w:lang w:val="en-US"/>
        </w:rPr>
        <w:t>es</w:t>
      </w:r>
      <w:r w:rsidRPr="006169E2">
        <w:rPr>
          <w:rFonts w:ascii="Trebuchet MS" w:hAnsi="Trebuchet MS"/>
          <w:sz w:val="20"/>
          <w:szCs w:val="20"/>
          <w:lang w:val="en-US"/>
        </w:rPr>
        <w:t xml:space="preserve"> interest rate expectations across </w:t>
      </w:r>
      <w:r w:rsidR="00CA3901">
        <w:rPr>
          <w:rFonts w:ascii="Trebuchet MS" w:hAnsi="Trebuchet MS"/>
          <w:sz w:val="20"/>
          <w:szCs w:val="20"/>
          <w:lang w:val="en-US"/>
        </w:rPr>
        <w:t>its investment</w:t>
      </w:r>
      <w:r w:rsidRPr="006169E2">
        <w:rPr>
          <w:rFonts w:ascii="Trebuchet MS" w:hAnsi="Trebuchet MS"/>
          <w:sz w:val="20"/>
          <w:szCs w:val="20"/>
          <w:lang w:val="en-US"/>
        </w:rPr>
        <w:t xml:space="preserve"> geographies, it is evident that there are positive indicators supporting </w:t>
      </w:r>
      <w:r w:rsidR="00CA3901">
        <w:rPr>
          <w:rFonts w:ascii="Trebuchet MS" w:hAnsi="Trebuchet MS"/>
          <w:sz w:val="20"/>
          <w:szCs w:val="20"/>
          <w:lang w:val="en-US"/>
        </w:rPr>
        <w:t xml:space="preserve">its </w:t>
      </w:r>
      <w:r w:rsidRPr="006169E2">
        <w:rPr>
          <w:rFonts w:ascii="Trebuchet MS" w:hAnsi="Trebuchet MS"/>
          <w:sz w:val="20"/>
          <w:szCs w:val="20"/>
          <w:lang w:val="en-US"/>
        </w:rPr>
        <w:t xml:space="preserve">outlook for FY26 when </w:t>
      </w:r>
      <w:r w:rsidR="00147AA0">
        <w:rPr>
          <w:rFonts w:ascii="Trebuchet MS" w:hAnsi="Trebuchet MS"/>
          <w:sz w:val="20"/>
          <w:szCs w:val="20"/>
          <w:lang w:val="en-US"/>
        </w:rPr>
        <w:t xml:space="preserve">Growthpoint </w:t>
      </w:r>
      <w:r w:rsidR="00147AA0" w:rsidRPr="006169E2">
        <w:rPr>
          <w:rFonts w:ascii="Trebuchet MS" w:hAnsi="Trebuchet MS"/>
          <w:sz w:val="20"/>
          <w:szCs w:val="20"/>
          <w:lang w:val="en-US"/>
        </w:rPr>
        <w:t>expects</w:t>
      </w:r>
      <w:r w:rsidR="00A76192">
        <w:rPr>
          <w:rFonts w:ascii="Trebuchet MS" w:hAnsi="Trebuchet MS"/>
          <w:sz w:val="20"/>
          <w:szCs w:val="20"/>
          <w:lang w:val="en-US"/>
        </w:rPr>
        <w:t xml:space="preserve"> </w:t>
      </w:r>
      <w:r w:rsidR="00DB3041">
        <w:rPr>
          <w:rFonts w:ascii="Trebuchet MS" w:hAnsi="Trebuchet MS"/>
          <w:sz w:val="20"/>
          <w:szCs w:val="20"/>
          <w:lang w:val="en-US"/>
        </w:rPr>
        <w:t xml:space="preserve">positive </w:t>
      </w:r>
      <w:r w:rsidRPr="006169E2">
        <w:rPr>
          <w:rFonts w:ascii="Trebuchet MS" w:hAnsi="Trebuchet MS"/>
          <w:sz w:val="20"/>
          <w:szCs w:val="20"/>
          <w:lang w:val="en-US"/>
        </w:rPr>
        <w:t>DIPS</w:t>
      </w:r>
      <w:r w:rsidR="00A76192">
        <w:rPr>
          <w:rFonts w:ascii="Trebuchet MS" w:hAnsi="Trebuchet MS"/>
          <w:sz w:val="20"/>
          <w:szCs w:val="20"/>
          <w:lang w:val="en-US"/>
        </w:rPr>
        <w:t xml:space="preserve"> </w:t>
      </w:r>
      <w:r w:rsidRPr="006169E2">
        <w:rPr>
          <w:rFonts w:ascii="Trebuchet MS" w:hAnsi="Trebuchet MS"/>
          <w:sz w:val="20"/>
          <w:szCs w:val="20"/>
          <w:lang w:val="en-US"/>
        </w:rPr>
        <w:t>growth to resume.</w:t>
      </w:r>
    </w:p>
    <w:p w14:paraId="18EF821D" w14:textId="77777777" w:rsidR="008511C9" w:rsidRPr="00701C66" w:rsidRDefault="008511C9" w:rsidP="007F45B9">
      <w:pPr>
        <w:pStyle w:val="PlainText"/>
        <w:spacing w:line="276" w:lineRule="auto"/>
        <w:jc w:val="both"/>
        <w:rPr>
          <w:rFonts w:ascii="Trebuchet MS" w:hAnsi="Trebuchet MS"/>
          <w:sz w:val="20"/>
          <w:szCs w:val="20"/>
        </w:rPr>
      </w:pPr>
    </w:p>
    <w:p w14:paraId="78CE2DBD" w14:textId="5B9EBF97" w:rsidR="007F45B9" w:rsidRPr="00701C66" w:rsidRDefault="000542C3"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Growthpoint’s </w:t>
      </w:r>
      <w:r w:rsidR="007F45B9" w:rsidRPr="00701C66">
        <w:rPr>
          <w:rFonts w:ascii="Trebuchet MS" w:hAnsi="Trebuchet MS"/>
          <w:sz w:val="20"/>
          <w:szCs w:val="20"/>
        </w:rPr>
        <w:t>group SA REIT loan-to-value (LTV) ratio was 42.3%</w:t>
      </w:r>
      <w:r w:rsidR="005E7588" w:rsidRPr="00701C66">
        <w:rPr>
          <w:rFonts w:ascii="Trebuchet MS" w:hAnsi="Trebuchet MS"/>
          <w:sz w:val="20"/>
          <w:szCs w:val="20"/>
        </w:rPr>
        <w:t xml:space="preserve"> (FY23: 40.1%)</w:t>
      </w:r>
      <w:r w:rsidR="007F45B9" w:rsidRPr="00701C66">
        <w:rPr>
          <w:rFonts w:ascii="Trebuchet MS" w:hAnsi="Trebuchet MS"/>
          <w:sz w:val="20"/>
          <w:szCs w:val="20"/>
        </w:rPr>
        <w:t xml:space="preserve">, </w:t>
      </w:r>
      <w:r w:rsidR="0096057E" w:rsidRPr="00701C66">
        <w:rPr>
          <w:rFonts w:ascii="Trebuchet MS" w:hAnsi="Trebuchet MS"/>
          <w:sz w:val="20"/>
          <w:szCs w:val="20"/>
        </w:rPr>
        <w:t xml:space="preserve">impacted </w:t>
      </w:r>
      <w:r w:rsidR="007F45B9" w:rsidRPr="00701C66">
        <w:rPr>
          <w:rFonts w:ascii="Trebuchet MS" w:hAnsi="Trebuchet MS"/>
          <w:sz w:val="20"/>
          <w:szCs w:val="20"/>
        </w:rPr>
        <w:t>mainly by an increase in Growthpoint Properties Australia’s (GOZ)</w:t>
      </w:r>
      <w:r w:rsidR="00B71E68">
        <w:rPr>
          <w:rFonts w:ascii="Trebuchet MS" w:hAnsi="Trebuchet MS"/>
          <w:sz w:val="20"/>
          <w:szCs w:val="20"/>
        </w:rPr>
        <w:t xml:space="preserve"> </w:t>
      </w:r>
      <w:r w:rsidR="007F45B9" w:rsidRPr="00701C66">
        <w:rPr>
          <w:rFonts w:ascii="Trebuchet MS" w:hAnsi="Trebuchet MS"/>
          <w:sz w:val="20"/>
          <w:szCs w:val="20"/>
        </w:rPr>
        <w:t>LTV</w:t>
      </w:r>
      <w:r w:rsidR="00894577" w:rsidRPr="00701C66">
        <w:rPr>
          <w:rFonts w:ascii="Trebuchet MS" w:hAnsi="Trebuchet MS"/>
          <w:sz w:val="20"/>
          <w:szCs w:val="20"/>
        </w:rPr>
        <w:t xml:space="preserve"> </w:t>
      </w:r>
      <w:proofErr w:type="gramStart"/>
      <w:r w:rsidR="00894577" w:rsidRPr="00701C66">
        <w:rPr>
          <w:rFonts w:ascii="Trebuchet MS" w:hAnsi="Trebuchet MS"/>
          <w:sz w:val="20"/>
          <w:szCs w:val="20"/>
        </w:rPr>
        <w:t>as a result of</w:t>
      </w:r>
      <w:proofErr w:type="gramEnd"/>
      <w:r w:rsidR="00894577" w:rsidRPr="00701C66">
        <w:rPr>
          <w:rFonts w:ascii="Trebuchet MS" w:hAnsi="Trebuchet MS"/>
          <w:sz w:val="20"/>
          <w:szCs w:val="20"/>
        </w:rPr>
        <w:t xml:space="preserve"> </w:t>
      </w:r>
      <w:r w:rsidR="00C057FB" w:rsidRPr="00701C66">
        <w:rPr>
          <w:rFonts w:ascii="Trebuchet MS" w:hAnsi="Trebuchet MS"/>
          <w:sz w:val="20"/>
          <w:szCs w:val="20"/>
        </w:rPr>
        <w:t xml:space="preserve">valuation </w:t>
      </w:r>
      <w:r w:rsidR="00B71E68">
        <w:rPr>
          <w:rFonts w:ascii="Trebuchet MS" w:hAnsi="Trebuchet MS"/>
          <w:sz w:val="20"/>
          <w:szCs w:val="20"/>
        </w:rPr>
        <w:t>write-downs</w:t>
      </w:r>
      <w:r w:rsidR="00C057FB" w:rsidRPr="00701C66">
        <w:rPr>
          <w:rFonts w:ascii="Trebuchet MS" w:hAnsi="Trebuchet MS"/>
          <w:sz w:val="20"/>
          <w:szCs w:val="20"/>
        </w:rPr>
        <w:t>.</w:t>
      </w:r>
      <w:r w:rsidR="003A2FC4" w:rsidRPr="00701C66">
        <w:rPr>
          <w:rFonts w:ascii="Trebuchet MS" w:hAnsi="Trebuchet MS"/>
          <w:sz w:val="20"/>
          <w:szCs w:val="20"/>
        </w:rPr>
        <w:t xml:space="preserve"> It recorded an</w:t>
      </w:r>
      <w:r w:rsidR="007F45B9" w:rsidRPr="00701C66">
        <w:rPr>
          <w:rFonts w:ascii="Trebuchet MS" w:hAnsi="Trebuchet MS"/>
          <w:sz w:val="20"/>
          <w:szCs w:val="20"/>
        </w:rPr>
        <w:t xml:space="preserve"> interest cover ratio (ICR) of 2.4 times</w:t>
      </w:r>
      <w:r w:rsidR="005E7588" w:rsidRPr="00701C66">
        <w:rPr>
          <w:rFonts w:ascii="Trebuchet MS" w:hAnsi="Trebuchet MS"/>
          <w:sz w:val="20"/>
          <w:szCs w:val="20"/>
        </w:rPr>
        <w:t xml:space="preserve"> (FY23: 2.9 times)</w:t>
      </w:r>
      <w:r w:rsidR="007F45B9" w:rsidRPr="00701C66">
        <w:rPr>
          <w:rFonts w:ascii="Trebuchet MS" w:hAnsi="Trebuchet MS"/>
          <w:sz w:val="20"/>
          <w:szCs w:val="20"/>
        </w:rPr>
        <w:t>. Growthpoint enjoys excellent access to funding and secured attractive margins during the period. Even so, it was not immune to the impact of high interest rates</w:t>
      </w:r>
      <w:r w:rsidR="00B71E68">
        <w:rPr>
          <w:rFonts w:ascii="Trebuchet MS" w:hAnsi="Trebuchet MS"/>
          <w:sz w:val="20"/>
          <w:szCs w:val="20"/>
        </w:rPr>
        <w:t xml:space="preserve"> </w:t>
      </w:r>
      <w:r w:rsidR="00B71E68">
        <w:rPr>
          <w:rFonts w:ascii="Trebuchet MS" w:hAnsi="Trebuchet MS"/>
          <w:sz w:val="20"/>
          <w:szCs w:val="20"/>
        </w:rPr>
        <w:lastRenderedPageBreak/>
        <w:t>and</w:t>
      </w:r>
      <w:r w:rsidR="007F45B9" w:rsidRPr="00701C66">
        <w:rPr>
          <w:rFonts w:ascii="Trebuchet MS" w:hAnsi="Trebuchet MS"/>
          <w:sz w:val="20"/>
          <w:szCs w:val="20"/>
        </w:rPr>
        <w:t xml:space="preserve"> </w:t>
      </w:r>
      <w:r w:rsidR="00B71E68">
        <w:rPr>
          <w:rFonts w:ascii="Trebuchet MS" w:hAnsi="Trebuchet MS"/>
          <w:sz w:val="20"/>
          <w:szCs w:val="20"/>
        </w:rPr>
        <w:t>s</w:t>
      </w:r>
      <w:r w:rsidR="007F45B9" w:rsidRPr="00701C66">
        <w:rPr>
          <w:rFonts w:ascii="Trebuchet MS" w:hAnsi="Trebuchet MS"/>
          <w:sz w:val="20"/>
          <w:szCs w:val="20"/>
        </w:rPr>
        <w:t>ignificant refinancing of cross-currency interest rate swaps resulted in</w:t>
      </w:r>
      <w:r w:rsidR="00DD5A70" w:rsidRPr="00701C66">
        <w:rPr>
          <w:rFonts w:ascii="Trebuchet MS" w:hAnsi="Trebuchet MS"/>
          <w:sz w:val="20"/>
          <w:szCs w:val="20"/>
        </w:rPr>
        <w:t xml:space="preserve"> </w:t>
      </w:r>
      <w:r w:rsidR="007F45B9" w:rsidRPr="00701C66">
        <w:rPr>
          <w:rFonts w:ascii="Trebuchet MS" w:hAnsi="Trebuchet MS"/>
          <w:sz w:val="20"/>
          <w:szCs w:val="20"/>
        </w:rPr>
        <w:t xml:space="preserve">higher </w:t>
      </w:r>
      <w:r w:rsidR="00C057FB" w:rsidRPr="00701C66">
        <w:rPr>
          <w:rFonts w:ascii="Trebuchet MS" w:hAnsi="Trebuchet MS"/>
          <w:sz w:val="20"/>
          <w:szCs w:val="20"/>
        </w:rPr>
        <w:t xml:space="preserve">interest rates </w:t>
      </w:r>
      <w:r w:rsidR="007F45B9" w:rsidRPr="00701C66">
        <w:rPr>
          <w:rFonts w:ascii="Trebuchet MS" w:hAnsi="Trebuchet MS"/>
          <w:sz w:val="20"/>
          <w:szCs w:val="20"/>
        </w:rPr>
        <w:t xml:space="preserve">than those on expiry. 78.9% of its </w:t>
      </w:r>
      <w:r w:rsidR="005E7588" w:rsidRPr="00701C66">
        <w:rPr>
          <w:rFonts w:ascii="Trebuchet MS" w:hAnsi="Trebuchet MS"/>
          <w:sz w:val="20"/>
          <w:szCs w:val="20"/>
        </w:rPr>
        <w:t xml:space="preserve">SA </w:t>
      </w:r>
      <w:r w:rsidR="007F45B9" w:rsidRPr="00701C66">
        <w:rPr>
          <w:rFonts w:ascii="Trebuchet MS" w:hAnsi="Trebuchet MS"/>
          <w:sz w:val="20"/>
          <w:szCs w:val="20"/>
        </w:rPr>
        <w:t xml:space="preserve">debt book is fixed for an average term of 1.9 years at a rate that moved up from 9.1% to 9.6%, or from 6.7% to 7.2% if you include cross-currency interest rate swaps and foreign-denominated debt. </w:t>
      </w:r>
      <w:r w:rsidR="001A13B3">
        <w:rPr>
          <w:rFonts w:ascii="Trebuchet MS" w:hAnsi="Trebuchet MS"/>
          <w:sz w:val="20"/>
          <w:szCs w:val="20"/>
        </w:rPr>
        <w:t xml:space="preserve">Net </w:t>
      </w:r>
      <w:r w:rsidR="00436B6E" w:rsidRPr="00701C66">
        <w:rPr>
          <w:rFonts w:ascii="Trebuchet MS" w:hAnsi="Trebuchet MS"/>
          <w:sz w:val="20"/>
          <w:szCs w:val="20"/>
        </w:rPr>
        <w:t xml:space="preserve">SA </w:t>
      </w:r>
      <w:r w:rsidR="007F45B9" w:rsidRPr="00701C66">
        <w:rPr>
          <w:rFonts w:ascii="Trebuchet MS" w:hAnsi="Trebuchet MS"/>
          <w:sz w:val="20"/>
          <w:szCs w:val="20"/>
        </w:rPr>
        <w:t>finance costs increased by R381.0m from FY23</w:t>
      </w:r>
      <w:r w:rsidR="00B71E68">
        <w:rPr>
          <w:rFonts w:ascii="Trebuchet MS" w:hAnsi="Trebuchet MS"/>
          <w:sz w:val="20"/>
          <w:szCs w:val="20"/>
        </w:rPr>
        <w:t>,</w:t>
      </w:r>
      <w:r w:rsidR="00F03832" w:rsidRPr="00701C66">
        <w:rPr>
          <w:rFonts w:ascii="Trebuchet MS" w:hAnsi="Trebuchet MS"/>
          <w:sz w:val="20"/>
          <w:szCs w:val="20"/>
        </w:rPr>
        <w:t xml:space="preserve"> and</w:t>
      </w:r>
      <w:r w:rsidR="007F45B9" w:rsidRPr="00701C66">
        <w:rPr>
          <w:rFonts w:ascii="Trebuchet MS" w:hAnsi="Trebuchet MS"/>
          <w:sz w:val="20"/>
          <w:szCs w:val="20"/>
        </w:rPr>
        <w:t xml:space="preserve"> </w:t>
      </w:r>
      <w:r w:rsidR="00B71E68">
        <w:rPr>
          <w:rFonts w:ascii="Trebuchet MS" w:hAnsi="Trebuchet MS"/>
          <w:sz w:val="20"/>
          <w:szCs w:val="20"/>
        </w:rPr>
        <w:t>its</w:t>
      </w:r>
      <w:r w:rsidR="00E52799">
        <w:rPr>
          <w:rFonts w:ascii="Trebuchet MS" w:hAnsi="Trebuchet MS"/>
          <w:sz w:val="20"/>
          <w:szCs w:val="20"/>
        </w:rPr>
        <w:t xml:space="preserve"> </w:t>
      </w:r>
      <w:r w:rsidR="007F45B9" w:rsidRPr="00701C66">
        <w:rPr>
          <w:rFonts w:ascii="Trebuchet MS" w:hAnsi="Trebuchet MS"/>
          <w:sz w:val="20"/>
          <w:szCs w:val="20"/>
        </w:rPr>
        <w:t xml:space="preserve">weighted average term of debt </w:t>
      </w:r>
      <w:r w:rsidR="00616DF1" w:rsidRPr="00701C66">
        <w:rPr>
          <w:rFonts w:ascii="Trebuchet MS" w:hAnsi="Trebuchet MS"/>
          <w:sz w:val="20"/>
          <w:szCs w:val="20"/>
        </w:rPr>
        <w:t xml:space="preserve">increased </w:t>
      </w:r>
      <w:r w:rsidR="007F45B9" w:rsidRPr="00701C66">
        <w:rPr>
          <w:rFonts w:ascii="Trebuchet MS" w:hAnsi="Trebuchet MS"/>
          <w:sz w:val="20"/>
          <w:szCs w:val="20"/>
        </w:rPr>
        <w:t xml:space="preserve">from 3.5 years to 4.0 years. </w:t>
      </w:r>
    </w:p>
    <w:p w14:paraId="18BDA054" w14:textId="77777777" w:rsidR="007F45B9" w:rsidRPr="00701C66" w:rsidRDefault="007F45B9" w:rsidP="007F45B9">
      <w:pPr>
        <w:pStyle w:val="PlainText"/>
        <w:spacing w:line="276" w:lineRule="auto"/>
        <w:jc w:val="both"/>
        <w:rPr>
          <w:rFonts w:ascii="Trebuchet MS" w:hAnsi="Trebuchet MS"/>
          <w:sz w:val="20"/>
          <w:szCs w:val="20"/>
        </w:rPr>
      </w:pPr>
    </w:p>
    <w:p w14:paraId="3DBC62F3" w14:textId="27684ACC"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w:t>
      </w:r>
      <w:r w:rsidR="005E7588" w:rsidRPr="00701C66">
        <w:rPr>
          <w:rFonts w:ascii="Trebuchet MS" w:hAnsi="Trebuchet MS"/>
          <w:i/>
          <w:iCs/>
          <w:sz w:val="20"/>
          <w:szCs w:val="20"/>
        </w:rPr>
        <w:t xml:space="preserve">We believe </w:t>
      </w:r>
      <w:r w:rsidR="00DD5A70" w:rsidRPr="00701C66">
        <w:rPr>
          <w:rFonts w:ascii="Trebuchet MS" w:hAnsi="Trebuchet MS"/>
          <w:i/>
          <w:iCs/>
          <w:sz w:val="20"/>
          <w:szCs w:val="20"/>
        </w:rPr>
        <w:t>LTVs</w:t>
      </w:r>
      <w:r w:rsidR="005E7588" w:rsidRPr="00701C66">
        <w:rPr>
          <w:rFonts w:ascii="Trebuchet MS" w:hAnsi="Trebuchet MS"/>
          <w:i/>
          <w:iCs/>
          <w:sz w:val="20"/>
          <w:szCs w:val="20"/>
        </w:rPr>
        <w:t xml:space="preserve">, linked to valuations, are stabilising, other than possibly for GOZ </w:t>
      </w:r>
      <w:r w:rsidR="00E83280">
        <w:rPr>
          <w:rFonts w:ascii="Trebuchet MS" w:hAnsi="Trebuchet MS"/>
          <w:i/>
          <w:iCs/>
          <w:sz w:val="20"/>
          <w:szCs w:val="20"/>
        </w:rPr>
        <w:t>where interest rates are</w:t>
      </w:r>
      <w:r w:rsidR="005E7588" w:rsidRPr="00701C66">
        <w:rPr>
          <w:rFonts w:ascii="Trebuchet MS" w:hAnsi="Trebuchet MS"/>
          <w:i/>
          <w:iCs/>
          <w:sz w:val="20"/>
          <w:szCs w:val="20"/>
        </w:rPr>
        <w:t xml:space="preserve"> lagging</w:t>
      </w:r>
      <w:r w:rsidR="008F1B90" w:rsidRPr="00701C66">
        <w:rPr>
          <w:rFonts w:ascii="Trebuchet MS" w:hAnsi="Trebuchet MS"/>
          <w:i/>
          <w:iCs/>
          <w:sz w:val="20"/>
          <w:szCs w:val="20"/>
        </w:rPr>
        <w:t xml:space="preserve">. </w:t>
      </w:r>
      <w:r w:rsidR="00E83280">
        <w:rPr>
          <w:rFonts w:ascii="Trebuchet MS" w:hAnsi="Trebuchet MS"/>
          <w:i/>
          <w:iCs/>
          <w:sz w:val="20"/>
          <w:szCs w:val="20"/>
        </w:rPr>
        <w:t>W</w:t>
      </w:r>
      <w:r w:rsidR="005E7588" w:rsidRPr="00701C66">
        <w:rPr>
          <w:rFonts w:ascii="Trebuchet MS" w:hAnsi="Trebuchet MS"/>
          <w:i/>
          <w:iCs/>
          <w:sz w:val="20"/>
          <w:szCs w:val="20"/>
        </w:rPr>
        <w:t>e will</w:t>
      </w:r>
      <w:r w:rsidR="00295759">
        <w:rPr>
          <w:rFonts w:ascii="Trebuchet MS" w:hAnsi="Trebuchet MS"/>
          <w:i/>
          <w:iCs/>
          <w:sz w:val="20"/>
          <w:szCs w:val="20"/>
        </w:rPr>
        <w:t>, however,</w:t>
      </w:r>
      <w:r w:rsidR="005E7588" w:rsidRPr="00701C66">
        <w:rPr>
          <w:rFonts w:ascii="Trebuchet MS" w:hAnsi="Trebuchet MS"/>
          <w:i/>
          <w:iCs/>
          <w:sz w:val="20"/>
          <w:szCs w:val="20"/>
        </w:rPr>
        <w:t xml:space="preserve"> continue to focus on strategic initiatives to preserve liquidity and balance sheet strength in the long term.</w:t>
      </w:r>
      <w:r w:rsidRPr="00701C66">
        <w:rPr>
          <w:rFonts w:ascii="Trebuchet MS" w:hAnsi="Trebuchet MS"/>
          <w:i/>
          <w:iCs/>
          <w:sz w:val="20"/>
          <w:szCs w:val="20"/>
        </w:rPr>
        <w:t xml:space="preserve"> This supports us in achieving our key goals of enhancing the quality of the SA portfolio and optimising our international investments,”</w:t>
      </w:r>
      <w:r w:rsidRPr="00701C66">
        <w:rPr>
          <w:rFonts w:ascii="Trebuchet MS" w:hAnsi="Trebuchet MS"/>
          <w:sz w:val="20"/>
          <w:szCs w:val="20"/>
        </w:rPr>
        <w:t xml:space="preserve"> says Sasse.</w:t>
      </w:r>
    </w:p>
    <w:p w14:paraId="7F2CD319" w14:textId="77777777" w:rsidR="007F45B9" w:rsidRPr="00701C66" w:rsidRDefault="007F45B9" w:rsidP="007F45B9">
      <w:pPr>
        <w:pStyle w:val="PlainText"/>
        <w:spacing w:line="276" w:lineRule="auto"/>
        <w:jc w:val="both"/>
        <w:rPr>
          <w:rFonts w:ascii="Trebuchet MS" w:hAnsi="Trebuchet MS"/>
          <w:sz w:val="20"/>
          <w:szCs w:val="20"/>
        </w:rPr>
      </w:pPr>
    </w:p>
    <w:p w14:paraId="75AB6994" w14:textId="7428F12C"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Growthpoint remains well capitalised with significant access to liquidity, with R46</w:t>
      </w:r>
      <w:r w:rsidR="009807FF" w:rsidRPr="00701C66">
        <w:rPr>
          <w:rFonts w:ascii="Trebuchet MS" w:hAnsi="Trebuchet MS"/>
          <w:sz w:val="20"/>
          <w:szCs w:val="20"/>
        </w:rPr>
        <w:t>5.9</w:t>
      </w:r>
      <w:r w:rsidRPr="00701C66">
        <w:rPr>
          <w:rFonts w:ascii="Trebuchet MS" w:hAnsi="Trebuchet MS"/>
          <w:sz w:val="20"/>
          <w:szCs w:val="20"/>
        </w:rPr>
        <w:t>m cash on its SA balance sheet</w:t>
      </w:r>
      <w:r w:rsidR="000C6E24" w:rsidRPr="00701C66">
        <w:rPr>
          <w:rFonts w:ascii="Trebuchet MS" w:hAnsi="Trebuchet MS"/>
          <w:sz w:val="20"/>
          <w:szCs w:val="20"/>
        </w:rPr>
        <w:t xml:space="preserve"> </w:t>
      </w:r>
      <w:r w:rsidRPr="00701C66">
        <w:rPr>
          <w:rFonts w:ascii="Trebuchet MS" w:hAnsi="Trebuchet MS"/>
          <w:sz w:val="20"/>
          <w:szCs w:val="20"/>
        </w:rPr>
        <w:t>and R6.</w:t>
      </w:r>
      <w:r w:rsidR="009807FF" w:rsidRPr="00701C66">
        <w:rPr>
          <w:rFonts w:ascii="Trebuchet MS" w:hAnsi="Trebuchet MS"/>
          <w:sz w:val="20"/>
          <w:szCs w:val="20"/>
        </w:rPr>
        <w:t>3</w:t>
      </w:r>
      <w:r w:rsidRPr="00701C66">
        <w:rPr>
          <w:rFonts w:ascii="Trebuchet MS" w:hAnsi="Trebuchet MS"/>
          <w:sz w:val="20"/>
          <w:szCs w:val="20"/>
        </w:rPr>
        <w:t>bn in SA</w:t>
      </w:r>
      <w:r w:rsidR="009807FF" w:rsidRPr="00701C66">
        <w:rPr>
          <w:rFonts w:ascii="Trebuchet MS" w:hAnsi="Trebuchet MS"/>
          <w:sz w:val="20"/>
          <w:szCs w:val="20"/>
        </w:rPr>
        <w:t xml:space="preserve"> </w:t>
      </w:r>
      <w:r w:rsidRPr="00701C66">
        <w:rPr>
          <w:rFonts w:ascii="Trebuchet MS" w:hAnsi="Trebuchet MS"/>
          <w:sz w:val="20"/>
          <w:szCs w:val="20"/>
        </w:rPr>
        <w:t>unutilised committed debt facilities</w:t>
      </w:r>
      <w:r w:rsidR="00DD5A70" w:rsidRPr="00701C66">
        <w:rPr>
          <w:rFonts w:ascii="Trebuchet MS" w:hAnsi="Trebuchet MS"/>
          <w:sz w:val="20"/>
          <w:szCs w:val="20"/>
        </w:rPr>
        <w:t>, with both numbers including Growthpoint Investment Partners</w:t>
      </w:r>
      <w:r w:rsidRPr="00701C66">
        <w:rPr>
          <w:rFonts w:ascii="Trebuchet MS" w:hAnsi="Trebuchet MS"/>
          <w:sz w:val="20"/>
          <w:szCs w:val="20"/>
        </w:rPr>
        <w:t>. It will retain a further R84</w:t>
      </w:r>
      <w:r w:rsidR="00180594" w:rsidRPr="00701C66">
        <w:rPr>
          <w:rFonts w:ascii="Trebuchet MS" w:hAnsi="Trebuchet MS"/>
          <w:sz w:val="20"/>
          <w:szCs w:val="20"/>
        </w:rPr>
        <w:t>2</w:t>
      </w:r>
      <w:r w:rsidR="009807FF" w:rsidRPr="00701C66">
        <w:rPr>
          <w:rFonts w:ascii="Trebuchet MS" w:hAnsi="Trebuchet MS"/>
          <w:sz w:val="20"/>
          <w:szCs w:val="20"/>
        </w:rPr>
        <w:t>.3</w:t>
      </w:r>
      <w:r w:rsidRPr="00701C66">
        <w:rPr>
          <w:rFonts w:ascii="Trebuchet MS" w:hAnsi="Trebuchet MS"/>
          <w:sz w:val="20"/>
          <w:szCs w:val="20"/>
        </w:rPr>
        <w:t xml:space="preserve">m from its 82.5% payout ratio. </w:t>
      </w:r>
      <w:r w:rsidR="00E52799">
        <w:rPr>
          <w:rFonts w:ascii="Trebuchet MS" w:hAnsi="Trebuchet MS"/>
          <w:sz w:val="20"/>
          <w:szCs w:val="20"/>
        </w:rPr>
        <w:t>Growthpoint</w:t>
      </w:r>
      <w:r w:rsidR="00A115EF" w:rsidRPr="00701C66">
        <w:rPr>
          <w:rFonts w:ascii="Trebuchet MS" w:hAnsi="Trebuchet MS"/>
          <w:sz w:val="20"/>
          <w:szCs w:val="20"/>
        </w:rPr>
        <w:t xml:space="preserve"> has</w:t>
      </w:r>
      <w:r w:rsidRPr="00701C66">
        <w:rPr>
          <w:rFonts w:ascii="Trebuchet MS" w:hAnsi="Trebuchet MS"/>
          <w:sz w:val="20"/>
          <w:szCs w:val="20"/>
        </w:rPr>
        <w:t xml:space="preserve"> a modest R2</w:t>
      </w:r>
      <w:r w:rsidR="00042918" w:rsidRPr="00701C66">
        <w:rPr>
          <w:rFonts w:ascii="Trebuchet MS" w:hAnsi="Trebuchet MS"/>
          <w:sz w:val="20"/>
          <w:szCs w:val="20"/>
        </w:rPr>
        <w:t>.</w:t>
      </w:r>
      <w:r w:rsidRPr="00701C66">
        <w:rPr>
          <w:rFonts w:ascii="Trebuchet MS" w:hAnsi="Trebuchet MS"/>
          <w:sz w:val="20"/>
          <w:szCs w:val="20"/>
        </w:rPr>
        <w:t>8</w:t>
      </w:r>
      <w:r w:rsidR="009807FF" w:rsidRPr="00701C66">
        <w:rPr>
          <w:rFonts w:ascii="Trebuchet MS" w:hAnsi="Trebuchet MS"/>
          <w:sz w:val="20"/>
          <w:szCs w:val="20"/>
        </w:rPr>
        <w:t>bn</w:t>
      </w:r>
      <w:r w:rsidRPr="00701C66">
        <w:rPr>
          <w:rFonts w:ascii="Trebuchet MS" w:hAnsi="Trebuchet MS"/>
          <w:sz w:val="20"/>
          <w:szCs w:val="20"/>
        </w:rPr>
        <w:t xml:space="preserve"> of </w:t>
      </w:r>
      <w:r w:rsidR="00A80831" w:rsidRPr="00701C66">
        <w:rPr>
          <w:rFonts w:ascii="Trebuchet MS" w:hAnsi="Trebuchet MS"/>
          <w:sz w:val="20"/>
          <w:szCs w:val="20"/>
        </w:rPr>
        <w:t>debt maturing</w:t>
      </w:r>
      <w:r w:rsidRPr="00701C66">
        <w:rPr>
          <w:rFonts w:ascii="Trebuchet MS" w:hAnsi="Trebuchet MS"/>
          <w:sz w:val="20"/>
          <w:szCs w:val="20"/>
        </w:rPr>
        <w:t xml:space="preserve"> in the next 12 months, and the outlook for both its Fitch global scale rating at BB+ and national scale rating at </w:t>
      </w:r>
      <w:proofErr w:type="gramStart"/>
      <w:r w:rsidRPr="00701C66">
        <w:rPr>
          <w:rFonts w:ascii="Trebuchet MS" w:hAnsi="Trebuchet MS"/>
          <w:sz w:val="20"/>
          <w:szCs w:val="20"/>
        </w:rPr>
        <w:t>AAA(</w:t>
      </w:r>
      <w:proofErr w:type="spellStart"/>
      <w:proofErr w:type="gramEnd"/>
      <w:r w:rsidRPr="00701C66">
        <w:rPr>
          <w:rFonts w:ascii="Trebuchet MS" w:hAnsi="Trebuchet MS"/>
          <w:sz w:val="20"/>
          <w:szCs w:val="20"/>
        </w:rPr>
        <w:t>zaf</w:t>
      </w:r>
      <w:proofErr w:type="spellEnd"/>
      <w:r w:rsidRPr="00701C66">
        <w:rPr>
          <w:rFonts w:ascii="Trebuchet MS" w:hAnsi="Trebuchet MS"/>
          <w:sz w:val="20"/>
          <w:szCs w:val="20"/>
        </w:rPr>
        <w:t>) and Moody's global scale rating at Ba2 and national scale rating at Aa1.za, remain stable.</w:t>
      </w:r>
    </w:p>
    <w:p w14:paraId="4BFE4A93" w14:textId="77777777" w:rsidR="007F45B9" w:rsidRPr="00701C66" w:rsidRDefault="007F45B9" w:rsidP="007F45B9">
      <w:pPr>
        <w:pStyle w:val="PlainText"/>
        <w:spacing w:line="276" w:lineRule="auto"/>
        <w:jc w:val="both"/>
        <w:rPr>
          <w:rFonts w:ascii="Trebuchet MS" w:hAnsi="Trebuchet MS"/>
          <w:sz w:val="20"/>
          <w:szCs w:val="20"/>
        </w:rPr>
      </w:pPr>
    </w:p>
    <w:p w14:paraId="757FD452" w14:textId="3CE306D2"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 continued optimising its </w:t>
      </w:r>
      <w:r w:rsidRPr="00701C66">
        <w:rPr>
          <w:rFonts w:ascii="Trebuchet MS" w:hAnsi="Trebuchet MS"/>
          <w:b/>
          <w:bCs/>
          <w:sz w:val="20"/>
          <w:szCs w:val="20"/>
        </w:rPr>
        <w:t>international investment</w:t>
      </w:r>
      <w:r w:rsidRPr="00701C66">
        <w:rPr>
          <w:rFonts w:ascii="Trebuchet MS" w:hAnsi="Trebuchet MS"/>
          <w:sz w:val="20"/>
          <w:szCs w:val="20"/>
        </w:rPr>
        <w:t>, with 42.1% of property assets by book value located offshore and 32.4% of DIPS earned offshore. Foreign currency income remained steady at R1.6bn</w:t>
      </w:r>
      <w:r w:rsidR="009807FF" w:rsidRPr="00701C66">
        <w:rPr>
          <w:rFonts w:ascii="Trebuchet MS" w:hAnsi="Trebuchet MS"/>
          <w:sz w:val="20"/>
          <w:szCs w:val="20"/>
        </w:rPr>
        <w:t>.</w:t>
      </w:r>
    </w:p>
    <w:p w14:paraId="440155B6" w14:textId="77777777" w:rsidR="007F45B9" w:rsidRPr="00701C66" w:rsidRDefault="007F45B9" w:rsidP="007F45B9">
      <w:pPr>
        <w:pStyle w:val="PlainText"/>
        <w:spacing w:line="276" w:lineRule="auto"/>
        <w:jc w:val="both"/>
        <w:rPr>
          <w:rFonts w:ascii="Trebuchet MS" w:hAnsi="Trebuchet MS"/>
          <w:sz w:val="20"/>
          <w:szCs w:val="20"/>
        </w:rPr>
      </w:pPr>
    </w:p>
    <w:p w14:paraId="0241EDC7" w14:textId="3E0B7ABD"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 owns 57 office and industrial properties in Australia valued at R54.7bn through a 63.7% shareholding </w:t>
      </w:r>
      <w:r w:rsidR="00E83280">
        <w:rPr>
          <w:rFonts w:ascii="Trebuchet MS" w:hAnsi="Trebuchet MS"/>
          <w:sz w:val="20"/>
          <w:szCs w:val="20"/>
        </w:rPr>
        <w:t xml:space="preserve">in </w:t>
      </w:r>
      <w:r w:rsidRPr="00701C66">
        <w:rPr>
          <w:rFonts w:ascii="Trebuchet MS" w:hAnsi="Trebuchet MS"/>
          <w:sz w:val="20"/>
          <w:szCs w:val="20"/>
        </w:rPr>
        <w:t xml:space="preserve">GOZ and six community shopping centres in the UK valued at R9.2bn through a 68.9% investment in LSE- and JSE-listed C&amp;R. Through its 29.5% investment in LSE AIM-listed GWI, Growthpoint owns an interest in 59 office and </w:t>
      </w:r>
      <w:r w:rsidR="00E83280">
        <w:rPr>
          <w:rFonts w:ascii="Trebuchet MS" w:hAnsi="Trebuchet MS"/>
          <w:sz w:val="20"/>
          <w:szCs w:val="20"/>
        </w:rPr>
        <w:t>mixed</w:t>
      </w:r>
      <w:r w:rsidR="00284C03">
        <w:rPr>
          <w:rFonts w:ascii="Trebuchet MS" w:hAnsi="Trebuchet MS"/>
          <w:sz w:val="20"/>
          <w:szCs w:val="20"/>
        </w:rPr>
        <w:t>-</w:t>
      </w:r>
      <w:r w:rsidR="00E83280">
        <w:rPr>
          <w:rFonts w:ascii="Trebuchet MS" w:hAnsi="Trebuchet MS"/>
          <w:sz w:val="20"/>
          <w:szCs w:val="20"/>
        </w:rPr>
        <w:t>use</w:t>
      </w:r>
      <w:r w:rsidR="00E83280" w:rsidRPr="00701C66">
        <w:rPr>
          <w:rFonts w:ascii="Trebuchet MS" w:hAnsi="Trebuchet MS"/>
          <w:sz w:val="20"/>
          <w:szCs w:val="20"/>
        </w:rPr>
        <w:t xml:space="preserve"> </w:t>
      </w:r>
      <w:r w:rsidRPr="00701C66">
        <w:rPr>
          <w:rFonts w:ascii="Trebuchet MS" w:hAnsi="Trebuchet MS"/>
          <w:sz w:val="20"/>
          <w:szCs w:val="20"/>
        </w:rPr>
        <w:t xml:space="preserve">properties </w:t>
      </w:r>
      <w:r w:rsidR="001F15E9">
        <w:rPr>
          <w:rFonts w:ascii="Trebuchet MS" w:hAnsi="Trebuchet MS"/>
          <w:sz w:val="20"/>
          <w:szCs w:val="20"/>
        </w:rPr>
        <w:t xml:space="preserve">in Poland and Romania </w:t>
      </w:r>
      <w:r w:rsidRPr="00701C66">
        <w:rPr>
          <w:rFonts w:ascii="Trebuchet MS" w:hAnsi="Trebuchet MS"/>
          <w:sz w:val="20"/>
          <w:szCs w:val="20"/>
        </w:rPr>
        <w:t xml:space="preserve">with its effective share valued at R15.1bn. Growthpoint reinvested the June and December 2023 dividends received from C&amp;R and GWI and invested in C&amp;R’s open offer for the acquisition of Gyle Shopping Centre in Edinburgh. </w:t>
      </w:r>
    </w:p>
    <w:p w14:paraId="364BA9C9" w14:textId="77777777" w:rsidR="007F45B9" w:rsidRPr="00701C66" w:rsidRDefault="007F45B9" w:rsidP="007F45B9">
      <w:pPr>
        <w:pStyle w:val="PlainText"/>
        <w:spacing w:line="276" w:lineRule="auto"/>
        <w:jc w:val="both"/>
        <w:rPr>
          <w:rFonts w:ascii="Trebuchet MS" w:hAnsi="Trebuchet MS"/>
          <w:sz w:val="20"/>
          <w:szCs w:val="20"/>
        </w:rPr>
      </w:pPr>
    </w:p>
    <w:p w14:paraId="0FBD4A3C" w14:textId="5472AB5D"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“GOZ remains a</w:t>
      </w:r>
      <w:r w:rsidR="00DD5A70" w:rsidRPr="00701C66">
        <w:rPr>
          <w:rFonts w:ascii="Trebuchet MS" w:hAnsi="Trebuchet MS"/>
          <w:i/>
          <w:iCs/>
          <w:sz w:val="20"/>
          <w:szCs w:val="20"/>
        </w:rPr>
        <w:t xml:space="preserve"> </w:t>
      </w:r>
      <w:r w:rsidRPr="00701C66">
        <w:rPr>
          <w:rFonts w:ascii="Trebuchet MS" w:hAnsi="Trebuchet MS"/>
          <w:i/>
          <w:iCs/>
          <w:sz w:val="20"/>
          <w:szCs w:val="20"/>
        </w:rPr>
        <w:t xml:space="preserve">core investment for </w:t>
      </w:r>
      <w:r w:rsidR="00B02C2E" w:rsidRPr="00701C66">
        <w:rPr>
          <w:rFonts w:ascii="Trebuchet MS" w:hAnsi="Trebuchet MS"/>
          <w:i/>
          <w:iCs/>
          <w:sz w:val="20"/>
          <w:szCs w:val="20"/>
        </w:rPr>
        <w:t>Growthpoint,</w:t>
      </w:r>
      <w:r w:rsidRPr="00701C66">
        <w:rPr>
          <w:rFonts w:ascii="Trebuchet MS" w:hAnsi="Trebuchet MS"/>
          <w:i/>
          <w:iCs/>
          <w:sz w:val="20"/>
          <w:szCs w:val="20"/>
        </w:rPr>
        <w:t xml:space="preserve"> and we continue</w:t>
      </w:r>
      <w:r w:rsidR="009807FF" w:rsidRPr="00701C66">
        <w:rPr>
          <w:rFonts w:ascii="Trebuchet MS" w:hAnsi="Trebuchet MS"/>
          <w:i/>
          <w:iCs/>
          <w:sz w:val="20"/>
          <w:szCs w:val="20"/>
        </w:rPr>
        <w:t xml:space="preserve"> to</w:t>
      </w:r>
      <w:r w:rsidRPr="00701C66">
        <w:rPr>
          <w:rFonts w:ascii="Trebuchet MS" w:hAnsi="Trebuchet MS"/>
          <w:i/>
          <w:iCs/>
          <w:sz w:val="20"/>
          <w:szCs w:val="20"/>
        </w:rPr>
        <w:t xml:space="preserve"> evaluate all options to maximise </w:t>
      </w:r>
      <w:r w:rsidR="00E52799">
        <w:rPr>
          <w:rFonts w:ascii="Trebuchet MS" w:hAnsi="Trebuchet MS"/>
          <w:i/>
          <w:iCs/>
          <w:sz w:val="20"/>
          <w:szCs w:val="20"/>
        </w:rPr>
        <w:t xml:space="preserve">the </w:t>
      </w:r>
      <w:r w:rsidRPr="00701C66">
        <w:rPr>
          <w:rFonts w:ascii="Trebuchet MS" w:hAnsi="Trebuchet MS"/>
          <w:i/>
          <w:iCs/>
          <w:sz w:val="20"/>
          <w:szCs w:val="20"/>
        </w:rPr>
        <w:t>value of our investments in C&amp;R and GWI,”</w:t>
      </w:r>
      <w:r w:rsidRPr="00701C66">
        <w:rPr>
          <w:rFonts w:ascii="Trebuchet MS" w:hAnsi="Trebuchet MS"/>
          <w:sz w:val="20"/>
          <w:szCs w:val="20"/>
        </w:rPr>
        <w:t xml:space="preserve"> says Sasse.</w:t>
      </w:r>
    </w:p>
    <w:p w14:paraId="6BD58B7A" w14:textId="77777777" w:rsidR="007F45B9" w:rsidRPr="00701C66" w:rsidRDefault="007F45B9" w:rsidP="007F45B9">
      <w:pPr>
        <w:pStyle w:val="PlainText"/>
        <w:spacing w:line="276" w:lineRule="auto"/>
        <w:jc w:val="both"/>
        <w:rPr>
          <w:rFonts w:ascii="Trebuchet MS" w:hAnsi="Trebuchet MS"/>
          <w:sz w:val="20"/>
          <w:szCs w:val="20"/>
        </w:rPr>
      </w:pPr>
    </w:p>
    <w:p w14:paraId="7A54C38C" w14:textId="7777777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The excellent operational performance that distinguishes</w:t>
      </w:r>
      <w:r w:rsidRPr="00701C66">
        <w:rPr>
          <w:rFonts w:ascii="Trebuchet MS" w:hAnsi="Trebuchet MS"/>
          <w:b/>
          <w:bCs/>
          <w:sz w:val="20"/>
          <w:szCs w:val="20"/>
        </w:rPr>
        <w:t xml:space="preserve"> GOZ</w:t>
      </w:r>
      <w:r w:rsidRPr="00701C66">
        <w:rPr>
          <w:rFonts w:ascii="Trebuchet MS" w:hAnsi="Trebuchet MS"/>
          <w:sz w:val="20"/>
          <w:szCs w:val="20"/>
        </w:rPr>
        <w:t xml:space="preserve"> continued. It recorded successful leasing, supporting a portfolio occupancy of 97% by gross lettable area, of which 80% is leased to the government, listed and large organisations. It continues to have a long weighted average lease expiry of 5.7 years. </w:t>
      </w:r>
    </w:p>
    <w:p w14:paraId="20DED85C" w14:textId="77777777" w:rsidR="007F45B9" w:rsidRPr="00701C66" w:rsidRDefault="007F45B9" w:rsidP="007F45B9">
      <w:pPr>
        <w:pStyle w:val="PlainText"/>
        <w:spacing w:line="276" w:lineRule="auto"/>
        <w:jc w:val="both"/>
        <w:rPr>
          <w:rFonts w:ascii="Trebuchet MS" w:hAnsi="Trebuchet MS"/>
          <w:sz w:val="20"/>
          <w:szCs w:val="20"/>
        </w:rPr>
      </w:pPr>
    </w:p>
    <w:p w14:paraId="201EF6B3" w14:textId="54EB82C9"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GOZ’s balance sheet is robust. Its gearing, although up from 37.2%, remains within its target range at 40.7%</w:t>
      </w:r>
      <w:r w:rsidR="00294B4A" w:rsidRPr="00701C66">
        <w:rPr>
          <w:rFonts w:ascii="Trebuchet MS" w:hAnsi="Trebuchet MS"/>
          <w:sz w:val="20"/>
          <w:szCs w:val="20"/>
        </w:rPr>
        <w:t>, driven</w:t>
      </w:r>
      <w:r w:rsidRPr="00701C66">
        <w:rPr>
          <w:rFonts w:ascii="Trebuchet MS" w:hAnsi="Trebuchet MS"/>
          <w:sz w:val="20"/>
          <w:szCs w:val="20"/>
        </w:rPr>
        <w:t xml:space="preserve"> by higher interest rates that saw GOZ’s portfolio valuation decline</w:t>
      </w:r>
      <w:r w:rsidR="009807FF" w:rsidRPr="00701C66">
        <w:rPr>
          <w:rFonts w:ascii="Trebuchet MS" w:hAnsi="Trebuchet MS"/>
          <w:sz w:val="20"/>
          <w:szCs w:val="20"/>
        </w:rPr>
        <w:t xml:space="preserve"> for the office and industrial sector by 11.2% and 1.8%</w:t>
      </w:r>
      <w:r w:rsidR="00E52799">
        <w:rPr>
          <w:rFonts w:ascii="Trebuchet MS" w:hAnsi="Trebuchet MS"/>
          <w:sz w:val="20"/>
          <w:szCs w:val="20"/>
        </w:rPr>
        <w:t>,</w:t>
      </w:r>
      <w:r w:rsidR="009807FF" w:rsidRPr="00701C66">
        <w:rPr>
          <w:rFonts w:ascii="Trebuchet MS" w:hAnsi="Trebuchet MS"/>
          <w:sz w:val="20"/>
          <w:szCs w:val="20"/>
        </w:rPr>
        <w:t xml:space="preserve"> respectively</w:t>
      </w:r>
      <w:r w:rsidR="00E52799">
        <w:rPr>
          <w:rFonts w:ascii="Trebuchet MS" w:hAnsi="Trebuchet MS"/>
          <w:sz w:val="20"/>
          <w:szCs w:val="20"/>
        </w:rPr>
        <w:t>,</w:t>
      </w:r>
      <w:r w:rsidR="009807FF" w:rsidRPr="00701C66">
        <w:rPr>
          <w:rFonts w:ascii="Trebuchet MS" w:hAnsi="Trebuchet MS"/>
          <w:sz w:val="20"/>
          <w:szCs w:val="20"/>
        </w:rPr>
        <w:t xml:space="preserve"> on a like-for-like basis over 12 months, with the total portfolio valued at </w:t>
      </w:r>
      <w:r w:rsidR="00C90978" w:rsidRPr="00701C66">
        <w:rPr>
          <w:rFonts w:ascii="Trebuchet MS" w:hAnsi="Trebuchet MS"/>
          <w:sz w:val="20"/>
          <w:szCs w:val="20"/>
        </w:rPr>
        <w:t>AUD</w:t>
      </w:r>
      <w:r w:rsidR="009807FF" w:rsidRPr="00701C66">
        <w:rPr>
          <w:rFonts w:ascii="Trebuchet MS" w:hAnsi="Trebuchet MS"/>
          <w:sz w:val="20"/>
          <w:szCs w:val="20"/>
        </w:rPr>
        <w:t>4.4bn at FY24</w:t>
      </w:r>
      <w:r w:rsidRPr="00701C66">
        <w:rPr>
          <w:rFonts w:ascii="Trebuchet MS" w:hAnsi="Trebuchet MS"/>
          <w:sz w:val="20"/>
          <w:szCs w:val="20"/>
        </w:rPr>
        <w:t>. GOZ extended AUD470.0m of bank facilities in FY24. 74.5% of its debt is fixed for an average term of 2.5 years at a rate of 3.4%</w:t>
      </w:r>
      <w:r w:rsidR="00E52799">
        <w:rPr>
          <w:rFonts w:ascii="Trebuchet MS" w:hAnsi="Trebuchet MS"/>
          <w:sz w:val="20"/>
          <w:szCs w:val="20"/>
        </w:rPr>
        <w:t>,</w:t>
      </w:r>
      <w:r w:rsidRPr="00701C66">
        <w:rPr>
          <w:rFonts w:ascii="Trebuchet MS" w:hAnsi="Trebuchet MS"/>
          <w:sz w:val="20"/>
          <w:szCs w:val="20"/>
        </w:rPr>
        <w:t xml:space="preserve"> and it has AUD293.0m of undrawn debt facilities.</w:t>
      </w:r>
    </w:p>
    <w:p w14:paraId="5EEAEA1F" w14:textId="77777777" w:rsidR="007F45B9" w:rsidRPr="00701C66" w:rsidRDefault="007F45B9" w:rsidP="007F45B9">
      <w:pPr>
        <w:pStyle w:val="PlainText"/>
        <w:spacing w:line="276" w:lineRule="auto"/>
        <w:jc w:val="both"/>
        <w:rPr>
          <w:rFonts w:ascii="Trebuchet MS" w:hAnsi="Trebuchet MS"/>
          <w:sz w:val="20"/>
          <w:szCs w:val="20"/>
        </w:rPr>
      </w:pPr>
    </w:p>
    <w:p w14:paraId="752490D5" w14:textId="59707EF3" w:rsidR="007F45B9" w:rsidRPr="00701C66" w:rsidRDefault="00A5339E" w:rsidP="007F45B9">
      <w:pPr>
        <w:pStyle w:val="PlainText"/>
        <w:spacing w:line="276" w:lineRule="auto"/>
        <w:jc w:val="both"/>
        <w:rPr>
          <w:rFonts w:ascii="Trebuchet MS" w:hAnsi="Trebuchet MS"/>
          <w:sz w:val="20"/>
          <w:szCs w:val="20"/>
        </w:rPr>
      </w:pPr>
      <w:r>
        <w:rPr>
          <w:rFonts w:ascii="Trebuchet MS" w:hAnsi="Trebuchet MS"/>
          <w:sz w:val="20"/>
          <w:szCs w:val="20"/>
        </w:rPr>
        <w:t>With</w:t>
      </w:r>
      <w:r w:rsidR="007F45B9" w:rsidRPr="00701C66">
        <w:rPr>
          <w:rFonts w:ascii="Trebuchet MS" w:hAnsi="Trebuchet MS"/>
          <w:sz w:val="20"/>
          <w:szCs w:val="20"/>
        </w:rPr>
        <w:t xml:space="preserve"> a slightly increased payout ratio from 79.4% in FY23 to 80.7%, GOZ’s </w:t>
      </w:r>
      <w:r w:rsidR="00B6231B" w:rsidRPr="00701C66">
        <w:rPr>
          <w:rFonts w:ascii="Trebuchet MS" w:hAnsi="Trebuchet MS"/>
          <w:sz w:val="20"/>
          <w:szCs w:val="20"/>
        </w:rPr>
        <w:t>DPS</w:t>
      </w:r>
      <w:r w:rsidR="007F45B9" w:rsidRPr="00701C66">
        <w:rPr>
          <w:rFonts w:ascii="Trebuchet MS" w:hAnsi="Trebuchet MS"/>
          <w:sz w:val="20"/>
          <w:szCs w:val="20"/>
        </w:rPr>
        <w:t xml:space="preserve"> decreased from </w:t>
      </w:r>
      <w:r w:rsidR="00273BF6" w:rsidRPr="00701C66">
        <w:rPr>
          <w:rFonts w:ascii="Trebuchet MS" w:hAnsi="Trebuchet MS"/>
          <w:sz w:val="20"/>
          <w:szCs w:val="20"/>
        </w:rPr>
        <w:t>AUD</w:t>
      </w:r>
      <w:r w:rsidR="007F45B9" w:rsidRPr="00701C66">
        <w:rPr>
          <w:rFonts w:ascii="Trebuchet MS" w:hAnsi="Trebuchet MS"/>
          <w:sz w:val="20"/>
          <w:szCs w:val="20"/>
        </w:rPr>
        <w:t xml:space="preserve">21.4cps for FY23 to </w:t>
      </w:r>
      <w:r w:rsidR="00273BF6" w:rsidRPr="00701C66">
        <w:rPr>
          <w:rFonts w:ascii="Trebuchet MS" w:hAnsi="Trebuchet MS"/>
          <w:sz w:val="20"/>
          <w:szCs w:val="20"/>
        </w:rPr>
        <w:t>AUD</w:t>
      </w:r>
      <w:r w:rsidR="00F36389" w:rsidRPr="00701C66">
        <w:rPr>
          <w:rFonts w:ascii="Trebuchet MS" w:hAnsi="Trebuchet MS"/>
          <w:sz w:val="20"/>
          <w:szCs w:val="20"/>
        </w:rPr>
        <w:t>1</w:t>
      </w:r>
      <w:r w:rsidR="007F45B9" w:rsidRPr="00701C66">
        <w:rPr>
          <w:rFonts w:ascii="Trebuchet MS" w:hAnsi="Trebuchet MS"/>
          <w:sz w:val="20"/>
          <w:szCs w:val="20"/>
        </w:rPr>
        <w:t>9.3cps for FY24, while its funds from operations</w:t>
      </w:r>
      <w:r w:rsidR="00DD5A70" w:rsidRPr="00701C66">
        <w:rPr>
          <w:rFonts w:ascii="Trebuchet MS" w:hAnsi="Trebuchet MS"/>
          <w:sz w:val="20"/>
          <w:szCs w:val="20"/>
        </w:rPr>
        <w:t xml:space="preserve"> </w:t>
      </w:r>
      <w:r w:rsidR="00B6231B" w:rsidRPr="00701C66">
        <w:rPr>
          <w:rFonts w:ascii="Trebuchet MS" w:hAnsi="Trebuchet MS"/>
          <w:sz w:val="20"/>
          <w:szCs w:val="20"/>
        </w:rPr>
        <w:t>(FFO)</w:t>
      </w:r>
      <w:r w:rsidR="00620479" w:rsidRPr="00701C66">
        <w:rPr>
          <w:rFonts w:ascii="Trebuchet MS" w:hAnsi="Trebuchet MS"/>
          <w:sz w:val="20"/>
          <w:szCs w:val="20"/>
        </w:rPr>
        <w:t xml:space="preserve"> per share</w:t>
      </w:r>
      <w:r w:rsidR="007F45B9" w:rsidRPr="00701C66">
        <w:rPr>
          <w:rFonts w:ascii="Trebuchet MS" w:hAnsi="Trebuchet MS"/>
          <w:sz w:val="20"/>
          <w:szCs w:val="20"/>
        </w:rPr>
        <w:t xml:space="preserve"> declined by 10.8% to AUD23.9cps for FY24 from AUD26.8cps in the prior year. This is principally due to the material once-off lease cancellation fees received</w:t>
      </w:r>
      <w:r w:rsidR="00E52799">
        <w:rPr>
          <w:rFonts w:ascii="Trebuchet MS" w:hAnsi="Trebuchet MS"/>
          <w:sz w:val="20"/>
          <w:szCs w:val="20"/>
        </w:rPr>
        <w:t xml:space="preserve"> in the prior period</w:t>
      </w:r>
      <w:r w:rsidR="00D26FAE" w:rsidRPr="00701C66">
        <w:rPr>
          <w:rFonts w:ascii="Trebuchet MS" w:hAnsi="Trebuchet MS"/>
          <w:sz w:val="20"/>
          <w:szCs w:val="20"/>
        </w:rPr>
        <w:t>, the disposal of two</w:t>
      </w:r>
      <w:r w:rsidR="00DA4C86" w:rsidRPr="00701C66">
        <w:rPr>
          <w:rFonts w:ascii="Trebuchet MS" w:hAnsi="Trebuchet MS"/>
          <w:sz w:val="20"/>
          <w:szCs w:val="20"/>
        </w:rPr>
        <w:t xml:space="preserve"> assets and </w:t>
      </w:r>
      <w:r w:rsidR="007F45B9" w:rsidRPr="00701C66">
        <w:rPr>
          <w:rFonts w:ascii="Trebuchet MS" w:hAnsi="Trebuchet MS"/>
          <w:sz w:val="20"/>
          <w:szCs w:val="20"/>
        </w:rPr>
        <w:t>high</w:t>
      </w:r>
      <w:r w:rsidR="00620479" w:rsidRPr="00701C66">
        <w:rPr>
          <w:rFonts w:ascii="Trebuchet MS" w:hAnsi="Trebuchet MS"/>
          <w:sz w:val="20"/>
          <w:szCs w:val="20"/>
        </w:rPr>
        <w:t>er</w:t>
      </w:r>
      <w:r w:rsidR="007F45B9" w:rsidRPr="00701C66">
        <w:rPr>
          <w:rFonts w:ascii="Trebuchet MS" w:hAnsi="Trebuchet MS"/>
          <w:sz w:val="20"/>
          <w:szCs w:val="20"/>
        </w:rPr>
        <w:t xml:space="preserve"> interest rates</w:t>
      </w:r>
      <w:r w:rsidR="00DA4C86" w:rsidRPr="00701C66">
        <w:rPr>
          <w:rFonts w:ascii="Trebuchet MS" w:hAnsi="Trebuchet MS"/>
          <w:sz w:val="20"/>
          <w:szCs w:val="20"/>
        </w:rPr>
        <w:t>.</w:t>
      </w:r>
    </w:p>
    <w:p w14:paraId="16D538F6" w14:textId="77777777" w:rsidR="007F45B9" w:rsidRPr="00701C66" w:rsidRDefault="007F45B9" w:rsidP="007F45B9">
      <w:pPr>
        <w:pStyle w:val="PlainText"/>
        <w:spacing w:line="276" w:lineRule="auto"/>
        <w:jc w:val="both"/>
        <w:rPr>
          <w:rFonts w:ascii="Trebuchet MS" w:hAnsi="Trebuchet MS"/>
          <w:sz w:val="20"/>
          <w:szCs w:val="20"/>
        </w:rPr>
      </w:pPr>
    </w:p>
    <w:p w14:paraId="0CF6F955" w14:textId="412875C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 xml:space="preserve">“While GOZ still plans to grow its funds management platform, conditions </w:t>
      </w:r>
      <w:r w:rsidR="00A115EF" w:rsidRPr="00701C66">
        <w:rPr>
          <w:rFonts w:ascii="Trebuchet MS" w:hAnsi="Trebuchet MS"/>
          <w:i/>
          <w:iCs/>
          <w:sz w:val="20"/>
          <w:szCs w:val="20"/>
        </w:rPr>
        <w:t>were not</w:t>
      </w:r>
      <w:r w:rsidRPr="00701C66">
        <w:rPr>
          <w:rFonts w:ascii="Trebuchet MS" w:hAnsi="Trebuchet MS"/>
          <w:i/>
          <w:iCs/>
          <w:sz w:val="20"/>
          <w:szCs w:val="20"/>
        </w:rPr>
        <w:t xml:space="preserve"> conducive to furthering this growth during the year. The headwinds GOZ face</w:t>
      </w:r>
      <w:r w:rsidR="00DA4C86" w:rsidRPr="00701C66">
        <w:rPr>
          <w:rFonts w:ascii="Trebuchet MS" w:hAnsi="Trebuchet MS"/>
          <w:i/>
          <w:iCs/>
          <w:sz w:val="20"/>
          <w:szCs w:val="20"/>
        </w:rPr>
        <w:t>d</w:t>
      </w:r>
      <w:r w:rsidRPr="00701C66">
        <w:rPr>
          <w:rFonts w:ascii="Trebuchet MS" w:hAnsi="Trebuchet MS"/>
          <w:i/>
          <w:iCs/>
          <w:sz w:val="20"/>
          <w:szCs w:val="20"/>
        </w:rPr>
        <w:t xml:space="preserve"> in FY24 have not yet fully subsided, and it has provided FY25 FFO guidance of AUD 22.3cps to AUD 23.1cps and distribution guidance of AUD 18.2cps,”</w:t>
      </w:r>
      <w:r w:rsidRPr="00701C66">
        <w:rPr>
          <w:rFonts w:ascii="Trebuchet MS" w:hAnsi="Trebuchet MS"/>
          <w:sz w:val="20"/>
          <w:szCs w:val="20"/>
        </w:rPr>
        <w:t xml:space="preserve"> confirms Sasse.</w:t>
      </w:r>
    </w:p>
    <w:p w14:paraId="79C7DBB0" w14:textId="77777777" w:rsidR="007F45B9" w:rsidRPr="00701C66" w:rsidRDefault="007F45B9" w:rsidP="007F45B9">
      <w:pPr>
        <w:pStyle w:val="PlainText"/>
        <w:spacing w:line="276" w:lineRule="auto"/>
        <w:jc w:val="both"/>
        <w:rPr>
          <w:rFonts w:ascii="Trebuchet MS" w:hAnsi="Trebuchet MS"/>
          <w:sz w:val="20"/>
          <w:szCs w:val="20"/>
        </w:rPr>
      </w:pPr>
    </w:p>
    <w:p w14:paraId="0343D66B" w14:textId="0F07DA8E"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b/>
          <w:bCs/>
          <w:sz w:val="20"/>
          <w:szCs w:val="20"/>
        </w:rPr>
        <w:lastRenderedPageBreak/>
        <w:t>C&amp;R’s</w:t>
      </w:r>
      <w:r w:rsidRPr="00701C66">
        <w:rPr>
          <w:rFonts w:ascii="Trebuchet MS" w:hAnsi="Trebuchet MS"/>
          <w:sz w:val="20"/>
          <w:szCs w:val="20"/>
        </w:rPr>
        <w:t xml:space="preserve"> community-focused, value-driven</w:t>
      </w:r>
      <w:r w:rsidR="00031F4B" w:rsidRPr="00701C66">
        <w:rPr>
          <w:rFonts w:ascii="Trebuchet MS" w:hAnsi="Trebuchet MS"/>
          <w:sz w:val="20"/>
          <w:szCs w:val="20"/>
        </w:rPr>
        <w:t>,</w:t>
      </w:r>
      <w:r w:rsidRPr="00701C66">
        <w:rPr>
          <w:rFonts w:ascii="Trebuchet MS" w:hAnsi="Trebuchet MS"/>
          <w:sz w:val="20"/>
          <w:szCs w:val="20"/>
        </w:rPr>
        <w:t xml:space="preserve"> </w:t>
      </w:r>
      <w:r w:rsidR="00B02C2E" w:rsidRPr="00701C66">
        <w:rPr>
          <w:rFonts w:ascii="Trebuchet MS" w:hAnsi="Trebuchet MS"/>
          <w:sz w:val="20"/>
          <w:szCs w:val="20"/>
        </w:rPr>
        <w:t>needs-based</w:t>
      </w:r>
      <w:r w:rsidR="00CE368B" w:rsidRPr="00701C66">
        <w:rPr>
          <w:rFonts w:ascii="Trebuchet MS" w:hAnsi="Trebuchet MS"/>
          <w:sz w:val="20"/>
          <w:szCs w:val="20"/>
        </w:rPr>
        <w:t xml:space="preserve"> </w:t>
      </w:r>
      <w:r w:rsidRPr="00701C66">
        <w:rPr>
          <w:rFonts w:ascii="Trebuchet MS" w:hAnsi="Trebuchet MS"/>
          <w:sz w:val="20"/>
          <w:szCs w:val="20"/>
        </w:rPr>
        <w:t xml:space="preserve">retail strategy </w:t>
      </w:r>
      <w:r w:rsidR="003873DF" w:rsidRPr="00701C66">
        <w:rPr>
          <w:rFonts w:ascii="Trebuchet MS" w:hAnsi="Trebuchet MS"/>
          <w:sz w:val="20"/>
          <w:szCs w:val="20"/>
        </w:rPr>
        <w:t xml:space="preserve">has </w:t>
      </w:r>
      <w:r w:rsidRPr="00701C66">
        <w:rPr>
          <w:rFonts w:ascii="Trebuchet MS" w:hAnsi="Trebuchet MS"/>
          <w:sz w:val="20"/>
          <w:szCs w:val="20"/>
        </w:rPr>
        <w:t>driven a period of robust operational performance.</w:t>
      </w:r>
      <w:r w:rsidR="00CE368B" w:rsidRPr="00701C66">
        <w:rPr>
          <w:rFonts w:ascii="Trebuchet MS" w:hAnsi="Trebuchet MS"/>
          <w:sz w:val="20"/>
          <w:szCs w:val="20"/>
        </w:rPr>
        <w:t xml:space="preserve"> Net </w:t>
      </w:r>
      <w:r w:rsidR="00620479" w:rsidRPr="00701C66">
        <w:rPr>
          <w:rFonts w:ascii="Trebuchet MS" w:hAnsi="Trebuchet MS"/>
          <w:sz w:val="20"/>
          <w:szCs w:val="20"/>
        </w:rPr>
        <w:t>r</w:t>
      </w:r>
      <w:r w:rsidRPr="00701C66">
        <w:rPr>
          <w:rFonts w:ascii="Trebuchet MS" w:hAnsi="Trebuchet MS"/>
          <w:sz w:val="20"/>
          <w:szCs w:val="20"/>
        </w:rPr>
        <w:t xml:space="preserve">ental </w:t>
      </w:r>
      <w:r w:rsidR="00CE368B" w:rsidRPr="00701C66">
        <w:rPr>
          <w:rFonts w:ascii="Trebuchet MS" w:hAnsi="Trebuchet MS"/>
          <w:sz w:val="20"/>
          <w:szCs w:val="20"/>
        </w:rPr>
        <w:t>i</w:t>
      </w:r>
      <w:r w:rsidR="00601EB4" w:rsidRPr="00701C66">
        <w:rPr>
          <w:rFonts w:ascii="Trebuchet MS" w:hAnsi="Trebuchet MS"/>
          <w:sz w:val="20"/>
          <w:szCs w:val="20"/>
        </w:rPr>
        <w:t>n</w:t>
      </w:r>
      <w:r w:rsidR="00CE368B" w:rsidRPr="00701C66">
        <w:rPr>
          <w:rFonts w:ascii="Trebuchet MS" w:hAnsi="Trebuchet MS"/>
          <w:sz w:val="20"/>
          <w:szCs w:val="20"/>
        </w:rPr>
        <w:t xml:space="preserve">come </w:t>
      </w:r>
      <w:r w:rsidRPr="00701C66">
        <w:rPr>
          <w:rFonts w:ascii="Trebuchet MS" w:hAnsi="Trebuchet MS"/>
          <w:sz w:val="20"/>
          <w:szCs w:val="20"/>
        </w:rPr>
        <w:t xml:space="preserve">growth of 17.4% </w:t>
      </w:r>
      <w:r w:rsidR="001E4EFF">
        <w:rPr>
          <w:rFonts w:ascii="Trebuchet MS" w:hAnsi="Trebuchet MS"/>
          <w:sz w:val="20"/>
          <w:szCs w:val="20"/>
        </w:rPr>
        <w:t>mainly due to</w:t>
      </w:r>
      <w:r w:rsidR="001E4EFF" w:rsidRPr="00701C66">
        <w:rPr>
          <w:rFonts w:ascii="Trebuchet MS" w:hAnsi="Trebuchet MS"/>
          <w:sz w:val="20"/>
          <w:szCs w:val="20"/>
        </w:rPr>
        <w:t xml:space="preserve"> </w:t>
      </w:r>
      <w:r w:rsidR="00601EB4" w:rsidRPr="00701C66">
        <w:rPr>
          <w:rFonts w:ascii="Trebuchet MS" w:hAnsi="Trebuchet MS"/>
          <w:sz w:val="20"/>
          <w:szCs w:val="20"/>
        </w:rPr>
        <w:t xml:space="preserve">the </w:t>
      </w:r>
      <w:r w:rsidRPr="00701C66">
        <w:rPr>
          <w:rFonts w:ascii="Trebuchet MS" w:hAnsi="Trebuchet MS"/>
          <w:sz w:val="20"/>
          <w:szCs w:val="20"/>
        </w:rPr>
        <w:t>acquisition of Gyle Shopping Centre</w:t>
      </w:r>
      <w:r w:rsidR="00620479" w:rsidRPr="00701C66">
        <w:rPr>
          <w:rFonts w:ascii="Trebuchet MS" w:hAnsi="Trebuchet MS"/>
          <w:sz w:val="20"/>
          <w:szCs w:val="20"/>
        </w:rPr>
        <w:t>.</w:t>
      </w:r>
      <w:r w:rsidR="00E4058F" w:rsidRPr="00701C66">
        <w:rPr>
          <w:rFonts w:ascii="Trebuchet MS" w:hAnsi="Trebuchet MS"/>
          <w:sz w:val="20"/>
          <w:szCs w:val="20"/>
        </w:rPr>
        <w:t xml:space="preserve"> </w:t>
      </w:r>
      <w:r w:rsidR="00620479" w:rsidRPr="00701C66">
        <w:rPr>
          <w:rFonts w:ascii="Trebuchet MS" w:hAnsi="Trebuchet MS"/>
          <w:sz w:val="20"/>
          <w:szCs w:val="20"/>
        </w:rPr>
        <w:t xml:space="preserve">Like-for-like property valuations increased 0.6% and </w:t>
      </w:r>
      <w:r w:rsidR="00E4058F" w:rsidRPr="00701C66">
        <w:rPr>
          <w:rFonts w:ascii="Trebuchet MS" w:hAnsi="Trebuchet MS"/>
          <w:sz w:val="20"/>
          <w:szCs w:val="20"/>
        </w:rPr>
        <w:t xml:space="preserve">have been </w:t>
      </w:r>
      <w:r w:rsidR="00620479" w:rsidRPr="00701C66">
        <w:rPr>
          <w:rFonts w:ascii="Trebuchet MS" w:hAnsi="Trebuchet MS"/>
          <w:sz w:val="20"/>
          <w:szCs w:val="20"/>
        </w:rPr>
        <w:t xml:space="preserve">stable over the last </w:t>
      </w:r>
      <w:r w:rsidRPr="00701C66">
        <w:rPr>
          <w:rFonts w:ascii="Trebuchet MS" w:hAnsi="Trebuchet MS"/>
          <w:sz w:val="20"/>
          <w:szCs w:val="20"/>
        </w:rPr>
        <w:t>three year</w:t>
      </w:r>
      <w:r w:rsidR="00620479" w:rsidRPr="00701C66">
        <w:rPr>
          <w:rFonts w:ascii="Trebuchet MS" w:hAnsi="Trebuchet MS"/>
          <w:sz w:val="20"/>
          <w:szCs w:val="20"/>
        </w:rPr>
        <w:t>s.</w:t>
      </w:r>
      <w:r w:rsidRPr="00701C66">
        <w:rPr>
          <w:rFonts w:ascii="Trebuchet MS" w:hAnsi="Trebuchet MS"/>
          <w:sz w:val="20"/>
          <w:szCs w:val="20"/>
        </w:rPr>
        <w:t xml:space="preserve"> C&amp;R achieved strong leasing results, with new leases signed at an average premium of 8.8% on previous rentals. Portfolio occupancy increased to 93.1% by GLA. </w:t>
      </w:r>
    </w:p>
    <w:p w14:paraId="5C857480" w14:textId="77777777" w:rsidR="007F45B9" w:rsidRPr="00701C66" w:rsidRDefault="007F45B9" w:rsidP="007F45B9">
      <w:pPr>
        <w:pStyle w:val="PlainText"/>
        <w:spacing w:line="276" w:lineRule="auto"/>
        <w:jc w:val="both"/>
        <w:rPr>
          <w:rFonts w:ascii="Trebuchet MS" w:hAnsi="Trebuchet MS"/>
          <w:sz w:val="20"/>
          <w:szCs w:val="20"/>
        </w:rPr>
      </w:pPr>
    </w:p>
    <w:p w14:paraId="06D34419" w14:textId="13B2DAB9"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C&amp;R increased its </w:t>
      </w:r>
      <w:r w:rsidR="00B6231B" w:rsidRPr="00701C66">
        <w:rPr>
          <w:rFonts w:ascii="Trebuchet MS" w:hAnsi="Trebuchet MS"/>
          <w:sz w:val="20"/>
          <w:szCs w:val="20"/>
        </w:rPr>
        <w:t>DPS</w:t>
      </w:r>
      <w:r w:rsidRPr="00701C66">
        <w:rPr>
          <w:rFonts w:ascii="Trebuchet MS" w:hAnsi="Trebuchet MS"/>
          <w:sz w:val="20"/>
          <w:szCs w:val="20"/>
        </w:rPr>
        <w:t xml:space="preserve"> to GBP5.8pps totalling R173.9m (FY23: 5.5pps or R103.6m)</w:t>
      </w:r>
      <w:r w:rsidR="00F8766E" w:rsidRPr="00701C66">
        <w:rPr>
          <w:rFonts w:ascii="Trebuchet MS" w:hAnsi="Trebuchet MS"/>
          <w:sz w:val="20"/>
          <w:szCs w:val="20"/>
        </w:rPr>
        <w:t xml:space="preserve">. </w:t>
      </w:r>
      <w:r w:rsidR="003D4FE3" w:rsidRPr="00701C66">
        <w:rPr>
          <w:rFonts w:ascii="Trebuchet MS" w:hAnsi="Trebuchet MS"/>
          <w:sz w:val="20"/>
          <w:szCs w:val="20"/>
        </w:rPr>
        <w:t xml:space="preserve">Their </w:t>
      </w:r>
      <w:r w:rsidRPr="00701C66">
        <w:rPr>
          <w:rFonts w:ascii="Trebuchet MS" w:hAnsi="Trebuchet MS"/>
          <w:sz w:val="20"/>
          <w:szCs w:val="20"/>
        </w:rPr>
        <w:t xml:space="preserve">LTV </w:t>
      </w:r>
      <w:r w:rsidR="003D4FE3" w:rsidRPr="00701C66">
        <w:rPr>
          <w:rFonts w:ascii="Trebuchet MS" w:hAnsi="Trebuchet MS"/>
          <w:sz w:val="20"/>
          <w:szCs w:val="20"/>
        </w:rPr>
        <w:t xml:space="preserve">ratio </w:t>
      </w:r>
      <w:r w:rsidRPr="00701C66">
        <w:rPr>
          <w:rFonts w:ascii="Trebuchet MS" w:hAnsi="Trebuchet MS"/>
          <w:sz w:val="20"/>
          <w:szCs w:val="20"/>
        </w:rPr>
        <w:t xml:space="preserve">increased marginally from 42.0% at FY23 to 43.0%. C&amp;R has an average debt maturity term of 3.6 years at an average cost of 4.25%, with 97.8% of debt fixed until September 2025 and 78% until at least January 2027. </w:t>
      </w:r>
    </w:p>
    <w:p w14:paraId="71E82548" w14:textId="77777777" w:rsidR="007F45B9" w:rsidRPr="00701C66" w:rsidRDefault="007F45B9" w:rsidP="007F45B9">
      <w:pPr>
        <w:pStyle w:val="PlainText"/>
        <w:spacing w:line="276" w:lineRule="auto"/>
        <w:jc w:val="both"/>
        <w:rPr>
          <w:rFonts w:ascii="Trebuchet MS" w:hAnsi="Trebuchet MS"/>
          <w:sz w:val="20"/>
          <w:szCs w:val="20"/>
        </w:rPr>
      </w:pPr>
    </w:p>
    <w:p w14:paraId="71EB2FD1" w14:textId="1AA6E3D4"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 xml:space="preserve">“C&amp;R is defensively positioned and expected to continue delivering </w:t>
      </w:r>
      <w:r w:rsidR="007F1AC8" w:rsidRPr="00701C66">
        <w:rPr>
          <w:rFonts w:ascii="Trebuchet MS" w:hAnsi="Trebuchet MS"/>
          <w:i/>
          <w:iCs/>
          <w:sz w:val="20"/>
          <w:szCs w:val="20"/>
        </w:rPr>
        <w:t xml:space="preserve">a </w:t>
      </w:r>
      <w:r w:rsidRPr="00701C66">
        <w:rPr>
          <w:rFonts w:ascii="Trebuchet MS" w:hAnsi="Trebuchet MS"/>
          <w:i/>
          <w:iCs/>
          <w:sz w:val="20"/>
          <w:szCs w:val="20"/>
        </w:rPr>
        <w:t xml:space="preserve">stable performance,” </w:t>
      </w:r>
      <w:r w:rsidRPr="00701C66">
        <w:rPr>
          <w:rFonts w:ascii="Trebuchet MS" w:hAnsi="Trebuchet MS"/>
          <w:sz w:val="20"/>
          <w:szCs w:val="20"/>
        </w:rPr>
        <w:t xml:space="preserve">Sasse says. </w:t>
      </w:r>
    </w:p>
    <w:p w14:paraId="66965E15" w14:textId="77777777" w:rsidR="007F45B9" w:rsidRPr="00701C66" w:rsidRDefault="007F45B9" w:rsidP="007F45B9">
      <w:pPr>
        <w:pStyle w:val="PlainText"/>
        <w:spacing w:line="276" w:lineRule="auto"/>
        <w:jc w:val="both"/>
        <w:rPr>
          <w:rFonts w:ascii="Trebuchet MS" w:hAnsi="Trebuchet MS"/>
          <w:sz w:val="20"/>
          <w:szCs w:val="20"/>
        </w:rPr>
      </w:pPr>
    </w:p>
    <w:p w14:paraId="31A440E5" w14:textId="547145A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b/>
          <w:bCs/>
          <w:sz w:val="20"/>
          <w:szCs w:val="20"/>
        </w:rPr>
        <w:t xml:space="preserve">GWI </w:t>
      </w:r>
      <w:r w:rsidRPr="00701C66">
        <w:rPr>
          <w:rFonts w:ascii="Trebuchet MS" w:hAnsi="Trebuchet MS"/>
          <w:sz w:val="20"/>
          <w:szCs w:val="20"/>
        </w:rPr>
        <w:t>reduced vacancies to 13.8% from 14.5% at FY23, with impressive leasing outcomes underpinning a resilient operating performance. The disposal of its fully owned industrial portfolio was the main contributor to a 10</w:t>
      </w:r>
      <w:r w:rsidR="000A197A" w:rsidRPr="00701C66">
        <w:rPr>
          <w:rFonts w:ascii="Trebuchet MS" w:hAnsi="Trebuchet MS"/>
          <w:sz w:val="20"/>
          <w:szCs w:val="20"/>
        </w:rPr>
        <w:t>.8</w:t>
      </w:r>
      <w:r w:rsidRPr="00701C66">
        <w:rPr>
          <w:rFonts w:ascii="Trebuchet MS" w:hAnsi="Trebuchet MS"/>
          <w:sz w:val="20"/>
          <w:szCs w:val="20"/>
        </w:rPr>
        <w:t xml:space="preserve">% decrease in GWI’s portfolio value. GWI has </w:t>
      </w:r>
      <w:r w:rsidR="00B17BFC" w:rsidRPr="00701C66">
        <w:rPr>
          <w:rFonts w:ascii="Trebuchet MS" w:hAnsi="Trebuchet MS"/>
          <w:sz w:val="20"/>
          <w:szCs w:val="20"/>
        </w:rPr>
        <w:t>low gearing of</w:t>
      </w:r>
      <w:r w:rsidRPr="00701C66">
        <w:rPr>
          <w:rFonts w:ascii="Trebuchet MS" w:hAnsi="Trebuchet MS"/>
          <w:sz w:val="20"/>
          <w:szCs w:val="20"/>
        </w:rPr>
        <w:t xml:space="preserve"> 39.9%, EUR210.3m of cash on hand and EUR187</w:t>
      </w:r>
      <w:r w:rsidR="00A3544F" w:rsidRPr="00701C66">
        <w:rPr>
          <w:rFonts w:ascii="Trebuchet MS" w:hAnsi="Trebuchet MS"/>
          <w:sz w:val="20"/>
          <w:szCs w:val="20"/>
        </w:rPr>
        <w:t>.0</w:t>
      </w:r>
      <w:r w:rsidRPr="00701C66">
        <w:rPr>
          <w:rFonts w:ascii="Trebuchet MS" w:hAnsi="Trebuchet MS"/>
          <w:sz w:val="20"/>
          <w:szCs w:val="20"/>
        </w:rPr>
        <w:t xml:space="preserve">m of undrawn debt facilities. </w:t>
      </w:r>
    </w:p>
    <w:p w14:paraId="055A4EF0" w14:textId="77777777" w:rsidR="007F45B9" w:rsidRPr="00701C66" w:rsidRDefault="007F45B9" w:rsidP="007F45B9">
      <w:pPr>
        <w:pStyle w:val="PlainText"/>
        <w:spacing w:line="276" w:lineRule="auto"/>
        <w:jc w:val="both"/>
        <w:rPr>
          <w:rFonts w:ascii="Trebuchet MS" w:hAnsi="Trebuchet MS"/>
          <w:sz w:val="20"/>
          <w:szCs w:val="20"/>
        </w:rPr>
      </w:pPr>
    </w:p>
    <w:p w14:paraId="7492F413" w14:textId="54712891"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Given the significant refinancing </w:t>
      </w:r>
      <w:r w:rsidR="00B17BFC" w:rsidRPr="00701C66">
        <w:rPr>
          <w:rFonts w:ascii="Trebuchet MS" w:hAnsi="Trebuchet MS"/>
          <w:sz w:val="20"/>
          <w:szCs w:val="20"/>
        </w:rPr>
        <w:t>of its Eurobond during the year,</w:t>
      </w:r>
      <w:r w:rsidR="00620479" w:rsidRPr="00701C66">
        <w:rPr>
          <w:rFonts w:ascii="Trebuchet MS" w:hAnsi="Trebuchet MS"/>
          <w:sz w:val="20"/>
          <w:szCs w:val="20"/>
        </w:rPr>
        <w:t xml:space="preserve"> </w:t>
      </w:r>
      <w:r w:rsidR="00435E23" w:rsidRPr="00701C66">
        <w:rPr>
          <w:rFonts w:ascii="Trebuchet MS" w:hAnsi="Trebuchet MS"/>
          <w:sz w:val="20"/>
          <w:szCs w:val="20"/>
        </w:rPr>
        <w:t>at 6.25% versus 3</w:t>
      </w:r>
      <w:r w:rsidR="001F15E9">
        <w:rPr>
          <w:rFonts w:ascii="Trebuchet MS" w:hAnsi="Trebuchet MS"/>
          <w:sz w:val="20"/>
          <w:szCs w:val="20"/>
        </w:rPr>
        <w:t>.0</w:t>
      </w:r>
      <w:r w:rsidR="00435E23" w:rsidRPr="00701C66">
        <w:rPr>
          <w:rFonts w:ascii="Trebuchet MS" w:hAnsi="Trebuchet MS"/>
          <w:sz w:val="20"/>
          <w:szCs w:val="20"/>
        </w:rPr>
        <w:t>%</w:t>
      </w:r>
      <w:r w:rsidRPr="00701C66">
        <w:rPr>
          <w:rFonts w:ascii="Trebuchet MS" w:hAnsi="Trebuchet MS"/>
          <w:sz w:val="20"/>
          <w:szCs w:val="20"/>
        </w:rPr>
        <w:t>, GWI’s DPS reduced 2</w:t>
      </w:r>
      <w:r w:rsidR="00620479" w:rsidRPr="00701C66">
        <w:rPr>
          <w:rFonts w:ascii="Trebuchet MS" w:hAnsi="Trebuchet MS"/>
          <w:sz w:val="20"/>
          <w:szCs w:val="20"/>
        </w:rPr>
        <w:t>7.6</w:t>
      </w:r>
      <w:r w:rsidRPr="00701C66">
        <w:rPr>
          <w:rFonts w:ascii="Trebuchet MS" w:hAnsi="Trebuchet MS"/>
          <w:sz w:val="20"/>
          <w:szCs w:val="20"/>
        </w:rPr>
        <w:t>% to EUR21.0cps</w:t>
      </w:r>
      <w:r w:rsidR="00A71BEE" w:rsidRPr="00701C66">
        <w:rPr>
          <w:rFonts w:ascii="Trebuchet MS" w:hAnsi="Trebuchet MS"/>
          <w:sz w:val="20"/>
          <w:szCs w:val="20"/>
        </w:rPr>
        <w:t xml:space="preserve"> totalling R304.0m (FY23: </w:t>
      </w:r>
      <w:r w:rsidR="00273BF6" w:rsidRPr="00701C66">
        <w:rPr>
          <w:rFonts w:ascii="Trebuchet MS" w:hAnsi="Trebuchet MS"/>
          <w:sz w:val="20"/>
          <w:szCs w:val="20"/>
        </w:rPr>
        <w:t xml:space="preserve">EUR29.0cps </w:t>
      </w:r>
      <w:r w:rsidR="00A71BEE" w:rsidRPr="00701C66">
        <w:rPr>
          <w:rFonts w:ascii="Trebuchet MS" w:hAnsi="Trebuchet MS"/>
          <w:sz w:val="20"/>
          <w:szCs w:val="20"/>
        </w:rPr>
        <w:t xml:space="preserve">or </w:t>
      </w:r>
      <w:r w:rsidR="00273BF6" w:rsidRPr="00701C66">
        <w:rPr>
          <w:rFonts w:ascii="Trebuchet MS" w:hAnsi="Trebuchet MS"/>
          <w:sz w:val="20"/>
          <w:szCs w:val="20"/>
        </w:rPr>
        <w:t>R395.4m</w:t>
      </w:r>
      <w:r w:rsidR="00A71BEE" w:rsidRPr="00701C66">
        <w:rPr>
          <w:rFonts w:ascii="Trebuchet MS" w:hAnsi="Trebuchet MS"/>
          <w:sz w:val="20"/>
          <w:szCs w:val="20"/>
        </w:rPr>
        <w:t>)</w:t>
      </w:r>
      <w:r w:rsidRPr="00701C66">
        <w:rPr>
          <w:rFonts w:ascii="Trebuchet MS" w:hAnsi="Trebuchet MS"/>
          <w:sz w:val="20"/>
          <w:szCs w:val="20"/>
        </w:rPr>
        <w:t xml:space="preserve"> </w:t>
      </w:r>
    </w:p>
    <w:p w14:paraId="44AA6128" w14:textId="77777777" w:rsidR="007F45B9" w:rsidRPr="00701C66" w:rsidRDefault="007F45B9" w:rsidP="007F45B9">
      <w:pPr>
        <w:pStyle w:val="PlainText"/>
        <w:spacing w:line="276" w:lineRule="auto"/>
        <w:jc w:val="both"/>
        <w:rPr>
          <w:rFonts w:ascii="Trebuchet MS" w:hAnsi="Trebuchet MS"/>
          <w:sz w:val="20"/>
          <w:szCs w:val="20"/>
        </w:rPr>
      </w:pPr>
    </w:p>
    <w:p w14:paraId="575E16DE" w14:textId="7777777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“GWI has bedded down its bond refinance, which places the company more firmly on the front foot, with liquidity to pursue opportunities in the market,”</w:t>
      </w:r>
      <w:r w:rsidRPr="00701C66">
        <w:rPr>
          <w:rFonts w:ascii="Trebuchet MS" w:hAnsi="Trebuchet MS"/>
          <w:sz w:val="20"/>
          <w:szCs w:val="20"/>
        </w:rPr>
        <w:t xml:space="preserve"> notes Sasse.</w:t>
      </w:r>
    </w:p>
    <w:p w14:paraId="4FA02C99" w14:textId="77777777" w:rsidR="007F45B9" w:rsidRPr="00701C66" w:rsidRDefault="007F45B9" w:rsidP="007F45B9">
      <w:pPr>
        <w:pStyle w:val="PlainText"/>
        <w:spacing w:line="276" w:lineRule="auto"/>
        <w:jc w:val="both"/>
        <w:rPr>
          <w:rFonts w:ascii="Trebuchet MS" w:hAnsi="Trebuchet MS"/>
          <w:sz w:val="20"/>
          <w:szCs w:val="20"/>
        </w:rPr>
      </w:pPr>
    </w:p>
    <w:p w14:paraId="4EDBBD47" w14:textId="25369595"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In </w:t>
      </w:r>
      <w:r w:rsidRPr="00701C66">
        <w:rPr>
          <w:rFonts w:ascii="Trebuchet MS" w:hAnsi="Trebuchet MS"/>
          <w:b/>
          <w:bCs/>
          <w:sz w:val="20"/>
          <w:szCs w:val="20"/>
        </w:rPr>
        <w:t>South Africa</w:t>
      </w:r>
      <w:r w:rsidRPr="00701C66">
        <w:rPr>
          <w:rFonts w:ascii="Trebuchet MS" w:hAnsi="Trebuchet MS"/>
          <w:sz w:val="20"/>
          <w:szCs w:val="20"/>
        </w:rPr>
        <w:t>, Growthpoint owns and manages a diversified core portfolio of 3</w:t>
      </w:r>
      <w:r w:rsidR="00091792" w:rsidRPr="00701C66">
        <w:rPr>
          <w:rFonts w:ascii="Trebuchet MS" w:hAnsi="Trebuchet MS"/>
          <w:sz w:val="20"/>
          <w:szCs w:val="20"/>
        </w:rPr>
        <w:t>45</w:t>
      </w:r>
      <w:r w:rsidRPr="00701C66">
        <w:rPr>
          <w:rFonts w:ascii="Trebuchet MS" w:hAnsi="Trebuchet MS"/>
          <w:sz w:val="20"/>
          <w:szCs w:val="20"/>
        </w:rPr>
        <w:t xml:space="preserve"> retail, office, and logistics and industrial properties. It also owns </w:t>
      </w:r>
      <w:r w:rsidR="001F15E9">
        <w:rPr>
          <w:rFonts w:ascii="Trebuchet MS" w:hAnsi="Trebuchet MS"/>
          <w:sz w:val="20"/>
          <w:szCs w:val="20"/>
        </w:rPr>
        <w:t>nine</w:t>
      </w:r>
      <w:r w:rsidRPr="00701C66">
        <w:rPr>
          <w:rFonts w:ascii="Trebuchet MS" w:hAnsi="Trebuchet MS"/>
          <w:sz w:val="20"/>
          <w:szCs w:val="20"/>
        </w:rPr>
        <w:t xml:space="preserve"> trading and development properties. Its continuous drive to elevate the quality of this portfolio includes investing in its core </w:t>
      </w:r>
      <w:r w:rsidR="001F15E9">
        <w:rPr>
          <w:rFonts w:ascii="Trebuchet MS" w:hAnsi="Trebuchet MS"/>
          <w:sz w:val="20"/>
          <w:szCs w:val="20"/>
        </w:rPr>
        <w:t>assets</w:t>
      </w:r>
      <w:r w:rsidRPr="00701C66">
        <w:rPr>
          <w:rFonts w:ascii="Trebuchet MS" w:hAnsi="Trebuchet MS"/>
          <w:sz w:val="20"/>
          <w:szCs w:val="20"/>
        </w:rPr>
        <w:t xml:space="preserve"> to protect and enhance value through active asset management initiatives, </w:t>
      </w:r>
      <w:r w:rsidR="001F15E9">
        <w:rPr>
          <w:rFonts w:ascii="Trebuchet MS" w:hAnsi="Trebuchet MS"/>
          <w:sz w:val="20"/>
          <w:szCs w:val="20"/>
        </w:rPr>
        <w:t>and</w:t>
      </w:r>
      <w:r w:rsidRPr="00701C66">
        <w:rPr>
          <w:rFonts w:ascii="Trebuchet MS" w:hAnsi="Trebuchet MS"/>
          <w:sz w:val="20"/>
          <w:szCs w:val="20"/>
        </w:rPr>
        <w:t xml:space="preserve"> developing new high-quality assets, refurbishing existing assets, disposing of non-core assets, and enhancing sustainability initiatives across all three sectors. </w:t>
      </w:r>
    </w:p>
    <w:p w14:paraId="5EF92282" w14:textId="77777777" w:rsidR="007F45B9" w:rsidRPr="00701C66" w:rsidRDefault="007F45B9" w:rsidP="007F45B9">
      <w:pPr>
        <w:pStyle w:val="PlainText"/>
        <w:spacing w:line="276" w:lineRule="auto"/>
        <w:jc w:val="both"/>
        <w:rPr>
          <w:rFonts w:ascii="Trebuchet MS" w:hAnsi="Trebuchet MS"/>
          <w:sz w:val="20"/>
          <w:szCs w:val="20"/>
        </w:rPr>
      </w:pPr>
    </w:p>
    <w:p w14:paraId="16ADCDA4" w14:textId="780C87E8"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Growthpoint continued to invest in the portfolio with upgrades and new developments of R2.1</w:t>
      </w:r>
      <w:r w:rsidR="00EA7709" w:rsidRPr="00701C66">
        <w:rPr>
          <w:rFonts w:ascii="Trebuchet MS" w:hAnsi="Trebuchet MS"/>
          <w:sz w:val="20"/>
          <w:szCs w:val="20"/>
        </w:rPr>
        <w:t>bn</w:t>
      </w:r>
      <w:r w:rsidRPr="00701C66">
        <w:rPr>
          <w:rFonts w:ascii="Trebuchet MS" w:hAnsi="Trebuchet MS"/>
          <w:sz w:val="20"/>
          <w:szCs w:val="20"/>
        </w:rPr>
        <w:t xml:space="preserve">. </w:t>
      </w:r>
      <w:r w:rsidR="001F15E9">
        <w:rPr>
          <w:rFonts w:ascii="Trebuchet MS" w:hAnsi="Trebuchet MS"/>
          <w:sz w:val="20"/>
          <w:szCs w:val="20"/>
        </w:rPr>
        <w:t>It</w:t>
      </w:r>
      <w:r w:rsidR="001F15E9" w:rsidRPr="00701C66">
        <w:rPr>
          <w:rFonts w:ascii="Trebuchet MS" w:hAnsi="Trebuchet MS"/>
          <w:sz w:val="20"/>
          <w:szCs w:val="20"/>
        </w:rPr>
        <w:t xml:space="preserve"> </w:t>
      </w:r>
      <w:r w:rsidRPr="00701C66">
        <w:rPr>
          <w:rFonts w:ascii="Trebuchet MS" w:hAnsi="Trebuchet MS"/>
          <w:sz w:val="20"/>
          <w:szCs w:val="20"/>
        </w:rPr>
        <w:t xml:space="preserve">sold 17 </w:t>
      </w:r>
      <w:r w:rsidR="001F15E9">
        <w:rPr>
          <w:rFonts w:ascii="Trebuchet MS" w:hAnsi="Trebuchet MS"/>
          <w:sz w:val="20"/>
          <w:szCs w:val="20"/>
        </w:rPr>
        <w:t xml:space="preserve">non-strategic </w:t>
      </w:r>
      <w:r w:rsidRPr="00701C66">
        <w:rPr>
          <w:rFonts w:ascii="Trebuchet MS" w:hAnsi="Trebuchet MS"/>
          <w:sz w:val="20"/>
          <w:szCs w:val="20"/>
        </w:rPr>
        <w:t xml:space="preserve">properties for R907.7m during the year and two trading and development properties </w:t>
      </w:r>
      <w:r w:rsidR="00EA7709" w:rsidRPr="00701C66">
        <w:rPr>
          <w:rFonts w:ascii="Trebuchet MS" w:hAnsi="Trebuchet MS"/>
          <w:sz w:val="20"/>
          <w:szCs w:val="20"/>
        </w:rPr>
        <w:t xml:space="preserve">for </w:t>
      </w:r>
      <w:r w:rsidRPr="00701C66">
        <w:rPr>
          <w:rFonts w:ascii="Trebuchet MS" w:hAnsi="Trebuchet MS"/>
          <w:sz w:val="20"/>
          <w:szCs w:val="20"/>
        </w:rPr>
        <w:t>R294.3m</w:t>
      </w:r>
      <w:r w:rsidR="00440510" w:rsidRPr="00701C66">
        <w:rPr>
          <w:rFonts w:ascii="Trebuchet MS" w:hAnsi="Trebuchet MS"/>
          <w:sz w:val="20"/>
          <w:szCs w:val="20"/>
        </w:rPr>
        <w:t xml:space="preserve"> with a c</w:t>
      </w:r>
      <w:r w:rsidRPr="00701C66">
        <w:rPr>
          <w:rFonts w:ascii="Trebuchet MS" w:hAnsi="Trebuchet MS"/>
          <w:sz w:val="20"/>
          <w:szCs w:val="20"/>
        </w:rPr>
        <w:t>ombined profit</w:t>
      </w:r>
      <w:r w:rsidR="00D279DF" w:rsidRPr="00701C66">
        <w:rPr>
          <w:rFonts w:ascii="Trebuchet MS" w:hAnsi="Trebuchet MS"/>
          <w:sz w:val="20"/>
          <w:szCs w:val="20"/>
        </w:rPr>
        <w:t xml:space="preserve"> </w:t>
      </w:r>
      <w:r w:rsidR="001F15E9">
        <w:rPr>
          <w:rFonts w:ascii="Trebuchet MS" w:hAnsi="Trebuchet MS"/>
          <w:sz w:val="20"/>
          <w:szCs w:val="20"/>
        </w:rPr>
        <w:t>on</w:t>
      </w:r>
      <w:r w:rsidR="00D279DF" w:rsidRPr="00701C66">
        <w:rPr>
          <w:rFonts w:ascii="Trebuchet MS" w:hAnsi="Trebuchet MS"/>
          <w:sz w:val="20"/>
          <w:szCs w:val="20"/>
        </w:rPr>
        <w:t xml:space="preserve"> book value </w:t>
      </w:r>
      <w:r w:rsidRPr="00701C66">
        <w:rPr>
          <w:rFonts w:ascii="Trebuchet MS" w:hAnsi="Trebuchet MS"/>
          <w:sz w:val="20"/>
          <w:szCs w:val="20"/>
        </w:rPr>
        <w:t>of R24.4m</w:t>
      </w:r>
      <w:r w:rsidR="00D279DF" w:rsidRPr="00701C66">
        <w:rPr>
          <w:rFonts w:ascii="Trebuchet MS" w:hAnsi="Trebuchet MS"/>
          <w:sz w:val="20"/>
          <w:szCs w:val="20"/>
        </w:rPr>
        <w:t>.</w:t>
      </w:r>
      <w:r w:rsidRPr="00701C66">
        <w:rPr>
          <w:rFonts w:ascii="Trebuchet MS" w:hAnsi="Trebuchet MS"/>
          <w:sz w:val="20"/>
          <w:szCs w:val="20"/>
        </w:rPr>
        <w:t xml:space="preserve"> It intends to sell a further R2.8bn of assets in </w:t>
      </w:r>
      <w:r w:rsidR="00D279DF" w:rsidRPr="00701C66">
        <w:rPr>
          <w:rFonts w:ascii="Trebuchet MS" w:hAnsi="Trebuchet MS"/>
          <w:sz w:val="20"/>
          <w:szCs w:val="20"/>
        </w:rPr>
        <w:t>FY25</w:t>
      </w:r>
      <w:r w:rsidRPr="00701C66">
        <w:rPr>
          <w:rFonts w:ascii="Trebuchet MS" w:hAnsi="Trebuchet MS"/>
          <w:sz w:val="20"/>
          <w:szCs w:val="20"/>
        </w:rPr>
        <w:t>. In total</w:t>
      </w:r>
      <w:r w:rsidR="001F15E9">
        <w:rPr>
          <w:rFonts w:ascii="Trebuchet MS" w:hAnsi="Trebuchet MS"/>
          <w:sz w:val="20"/>
          <w:szCs w:val="20"/>
        </w:rPr>
        <w:t xml:space="preserve">, </w:t>
      </w:r>
      <w:r w:rsidRPr="00701C66">
        <w:rPr>
          <w:rFonts w:ascii="Trebuchet MS" w:hAnsi="Trebuchet MS"/>
          <w:sz w:val="20"/>
          <w:szCs w:val="20"/>
        </w:rPr>
        <w:t>Growthpoint has sold</w:t>
      </w:r>
      <w:r w:rsidR="00282A13" w:rsidRPr="00701C66">
        <w:rPr>
          <w:rFonts w:ascii="Trebuchet MS" w:hAnsi="Trebuchet MS"/>
          <w:sz w:val="20"/>
          <w:szCs w:val="20"/>
        </w:rPr>
        <w:t xml:space="preserve"> 161 properties </w:t>
      </w:r>
      <w:r w:rsidR="009D1F4E" w:rsidRPr="00701C66">
        <w:rPr>
          <w:rFonts w:ascii="Trebuchet MS" w:hAnsi="Trebuchet MS"/>
          <w:sz w:val="20"/>
          <w:szCs w:val="20"/>
        </w:rPr>
        <w:t>for</w:t>
      </w:r>
      <w:r w:rsidRPr="00701C66">
        <w:rPr>
          <w:rFonts w:ascii="Trebuchet MS" w:hAnsi="Trebuchet MS"/>
          <w:sz w:val="20"/>
          <w:szCs w:val="20"/>
        </w:rPr>
        <w:t xml:space="preserve"> R12.4bn since 1 July 2016. </w:t>
      </w:r>
      <w:r w:rsidR="001F15E9">
        <w:rPr>
          <w:rFonts w:ascii="Trebuchet MS" w:hAnsi="Trebuchet MS"/>
          <w:sz w:val="20"/>
          <w:szCs w:val="20"/>
        </w:rPr>
        <w:t xml:space="preserve">It also </w:t>
      </w:r>
      <w:r w:rsidRPr="00701C66">
        <w:rPr>
          <w:rFonts w:ascii="Trebuchet MS" w:hAnsi="Trebuchet MS"/>
          <w:sz w:val="20"/>
          <w:szCs w:val="20"/>
        </w:rPr>
        <w:t xml:space="preserve">continued to recycle capital from the sale of smaller, non-core properties into developing and redeveloping quality assets. </w:t>
      </w:r>
    </w:p>
    <w:p w14:paraId="24B6BC16" w14:textId="77777777" w:rsidR="007F45B9" w:rsidRPr="00701C66" w:rsidRDefault="007F45B9" w:rsidP="007F45B9">
      <w:pPr>
        <w:pStyle w:val="PlainText"/>
        <w:spacing w:line="276" w:lineRule="auto"/>
        <w:jc w:val="both"/>
        <w:rPr>
          <w:rFonts w:ascii="Trebuchet MS" w:hAnsi="Trebuchet MS"/>
          <w:sz w:val="20"/>
          <w:szCs w:val="20"/>
        </w:rPr>
      </w:pPr>
    </w:p>
    <w:p w14:paraId="39DC6686" w14:textId="77F3D887" w:rsidR="00E4058F"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With almost all key numbers improving, the SA business delivered an admirable operational performance. Overall, vacancies improved with excellent letting</w:t>
      </w:r>
      <w:r w:rsidR="001F15E9">
        <w:rPr>
          <w:rFonts w:ascii="Trebuchet MS" w:hAnsi="Trebuchet MS"/>
          <w:sz w:val="20"/>
          <w:szCs w:val="20"/>
        </w:rPr>
        <w:t>,</w:t>
      </w:r>
      <w:r w:rsidRPr="00701C66">
        <w:rPr>
          <w:rFonts w:ascii="Trebuchet MS" w:hAnsi="Trebuchet MS"/>
          <w:sz w:val="20"/>
          <w:szCs w:val="20"/>
        </w:rPr>
        <w:t xml:space="preserve"> reducing from 9.7% to 8.7% over the year</w:t>
      </w:r>
      <w:r w:rsidR="001F15E9">
        <w:rPr>
          <w:rFonts w:ascii="Trebuchet MS" w:hAnsi="Trebuchet MS"/>
          <w:sz w:val="20"/>
          <w:szCs w:val="20"/>
        </w:rPr>
        <w:t>. Even</w:t>
      </w:r>
      <w:r w:rsidRPr="00701C66">
        <w:rPr>
          <w:rFonts w:ascii="Trebuchet MS" w:hAnsi="Trebuchet MS"/>
          <w:sz w:val="20"/>
          <w:szCs w:val="20"/>
        </w:rPr>
        <w:t xml:space="preserve"> office occupancies made a noteworthy recovery. Rental renewal growth demonstrated an equally encouraging trend, moving from -12.9% to -6.0% over the same period. Likewise, its renewal success </w:t>
      </w:r>
      <w:r w:rsidR="00F4638C" w:rsidRPr="00701C66">
        <w:rPr>
          <w:rFonts w:ascii="Trebuchet MS" w:hAnsi="Trebuchet MS"/>
          <w:sz w:val="20"/>
          <w:szCs w:val="20"/>
        </w:rPr>
        <w:t>increased</w:t>
      </w:r>
      <w:r w:rsidRPr="00701C66">
        <w:rPr>
          <w:rFonts w:ascii="Trebuchet MS" w:hAnsi="Trebuchet MS"/>
          <w:sz w:val="20"/>
          <w:szCs w:val="20"/>
        </w:rPr>
        <w:t xml:space="preserve"> from 64.9% to 76.3%. Bad debts and arrears reduced dramatically and are reverting to long-term trends. </w:t>
      </w:r>
    </w:p>
    <w:p w14:paraId="3BA7FC55" w14:textId="77777777" w:rsidR="00E4058F" w:rsidRPr="00701C66" w:rsidRDefault="00E4058F" w:rsidP="007F45B9">
      <w:pPr>
        <w:pStyle w:val="PlainText"/>
        <w:spacing w:line="276" w:lineRule="auto"/>
        <w:jc w:val="both"/>
        <w:rPr>
          <w:rFonts w:ascii="Trebuchet MS" w:hAnsi="Trebuchet MS"/>
          <w:sz w:val="20"/>
          <w:szCs w:val="20"/>
        </w:rPr>
      </w:pPr>
    </w:p>
    <w:p w14:paraId="115A519D" w14:textId="21599C1B" w:rsidR="007F45B9" w:rsidRPr="00701C66" w:rsidRDefault="00DD2E37" w:rsidP="007F45B9">
      <w:pPr>
        <w:pStyle w:val="PlainText"/>
        <w:spacing w:line="276" w:lineRule="auto"/>
        <w:jc w:val="both"/>
        <w:rPr>
          <w:rFonts w:ascii="Trebuchet MS" w:hAnsi="Trebuchet MS"/>
          <w:sz w:val="20"/>
          <w:szCs w:val="20"/>
        </w:rPr>
      </w:pPr>
      <w:r w:rsidRPr="00701C66">
        <w:rPr>
          <w:rFonts w:ascii="Trebuchet MS" w:hAnsi="Trebuchet MS"/>
          <w:sz w:val="20"/>
          <w:szCs w:val="20"/>
        </w:rPr>
        <w:t>The SA valuations, with a portfolio value of R66.3bn (FY23:R64.1bn) at FY24, were positively impacted by the improved property metrics across all three sectors and reduced vacancies in the office and retail sectors coupled with the repositioning of the portfolio to higher-quality assets by way of disposals and developments.</w:t>
      </w:r>
    </w:p>
    <w:p w14:paraId="50F9C1A9" w14:textId="77777777" w:rsidR="007F45B9" w:rsidRPr="00701C66" w:rsidRDefault="007F45B9" w:rsidP="007F45B9">
      <w:pPr>
        <w:pStyle w:val="PlainText"/>
        <w:spacing w:line="276" w:lineRule="auto"/>
        <w:jc w:val="both"/>
        <w:rPr>
          <w:rFonts w:ascii="Trebuchet MS" w:hAnsi="Trebuchet MS"/>
          <w:sz w:val="20"/>
          <w:szCs w:val="20"/>
        </w:rPr>
      </w:pPr>
    </w:p>
    <w:p w14:paraId="18875121" w14:textId="1911B512"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Growthpoint’s Cape Town and K</w:t>
      </w:r>
      <w:r w:rsidR="001F15E9">
        <w:rPr>
          <w:rFonts w:ascii="Trebuchet MS" w:hAnsi="Trebuchet MS"/>
          <w:sz w:val="20"/>
          <w:szCs w:val="20"/>
        </w:rPr>
        <w:t>wa</w:t>
      </w:r>
      <w:r w:rsidRPr="00701C66">
        <w:rPr>
          <w:rFonts w:ascii="Trebuchet MS" w:hAnsi="Trebuchet MS"/>
          <w:sz w:val="20"/>
          <w:szCs w:val="20"/>
        </w:rPr>
        <w:t>Z</w:t>
      </w:r>
      <w:r w:rsidR="001F15E9">
        <w:rPr>
          <w:rFonts w:ascii="Trebuchet MS" w:hAnsi="Trebuchet MS"/>
          <w:sz w:val="20"/>
          <w:szCs w:val="20"/>
        </w:rPr>
        <w:t>ulu-</w:t>
      </w:r>
      <w:r w:rsidRPr="00701C66">
        <w:rPr>
          <w:rFonts w:ascii="Trebuchet MS" w:hAnsi="Trebuchet MS"/>
          <w:sz w:val="20"/>
          <w:szCs w:val="20"/>
        </w:rPr>
        <w:t>N</w:t>
      </w:r>
      <w:r w:rsidR="001F15E9">
        <w:rPr>
          <w:rFonts w:ascii="Trebuchet MS" w:hAnsi="Trebuchet MS"/>
          <w:sz w:val="20"/>
          <w:szCs w:val="20"/>
        </w:rPr>
        <w:t>atal</w:t>
      </w:r>
      <w:r w:rsidRPr="00701C66">
        <w:rPr>
          <w:rFonts w:ascii="Trebuchet MS" w:hAnsi="Trebuchet MS"/>
          <w:sz w:val="20"/>
          <w:szCs w:val="20"/>
        </w:rPr>
        <w:t xml:space="preserve"> portfolios are performing particularly well, where all three sectors are nearing full occupancy. This is a good sign for positive rental reversions, as both markets are becoming more competitive.</w:t>
      </w:r>
    </w:p>
    <w:p w14:paraId="1A402593" w14:textId="77777777" w:rsidR="007F45B9" w:rsidRPr="00701C66" w:rsidRDefault="007F45B9" w:rsidP="007F45B9">
      <w:pPr>
        <w:pStyle w:val="PlainText"/>
        <w:spacing w:line="276" w:lineRule="auto"/>
        <w:jc w:val="both"/>
        <w:rPr>
          <w:rFonts w:ascii="Trebuchet MS" w:hAnsi="Trebuchet MS"/>
          <w:sz w:val="20"/>
          <w:szCs w:val="20"/>
        </w:rPr>
      </w:pPr>
    </w:p>
    <w:p w14:paraId="29EE2FED" w14:textId="49EFF751"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Growthpoint’s total expense ratio for its SA business </w:t>
      </w:r>
      <w:r w:rsidR="00D45387" w:rsidRPr="00701C66">
        <w:rPr>
          <w:rFonts w:ascii="Trebuchet MS" w:hAnsi="Trebuchet MS"/>
          <w:sz w:val="20"/>
          <w:szCs w:val="20"/>
        </w:rPr>
        <w:t>increased</w:t>
      </w:r>
      <w:r w:rsidRPr="00701C66">
        <w:rPr>
          <w:rFonts w:ascii="Trebuchet MS" w:hAnsi="Trebuchet MS"/>
          <w:sz w:val="20"/>
          <w:szCs w:val="20"/>
        </w:rPr>
        <w:t xml:space="preserve"> to 36.7%</w:t>
      </w:r>
      <w:r w:rsidR="001E4EFF">
        <w:rPr>
          <w:rFonts w:ascii="Trebuchet MS" w:hAnsi="Trebuchet MS"/>
          <w:sz w:val="20"/>
          <w:szCs w:val="20"/>
        </w:rPr>
        <w:t xml:space="preserve"> (FY23: 35.9%)</w:t>
      </w:r>
      <w:r w:rsidRPr="00701C66">
        <w:rPr>
          <w:rFonts w:ascii="Trebuchet MS" w:hAnsi="Trebuchet MS"/>
          <w:sz w:val="20"/>
          <w:szCs w:val="20"/>
        </w:rPr>
        <w:t xml:space="preserve">, primarily driven by </w:t>
      </w:r>
      <w:r w:rsidR="00D45387" w:rsidRPr="00701C66">
        <w:rPr>
          <w:rFonts w:ascii="Trebuchet MS" w:hAnsi="Trebuchet MS"/>
          <w:sz w:val="20"/>
          <w:szCs w:val="20"/>
        </w:rPr>
        <w:t>disposals</w:t>
      </w:r>
      <w:r w:rsidR="001E4EFF">
        <w:rPr>
          <w:rFonts w:ascii="Trebuchet MS" w:hAnsi="Trebuchet MS"/>
          <w:sz w:val="20"/>
          <w:szCs w:val="20"/>
        </w:rPr>
        <w:t>,</w:t>
      </w:r>
      <w:r w:rsidR="00D45387" w:rsidRPr="00701C66">
        <w:rPr>
          <w:rFonts w:ascii="Trebuchet MS" w:hAnsi="Trebuchet MS"/>
          <w:sz w:val="20"/>
          <w:szCs w:val="20"/>
        </w:rPr>
        <w:t xml:space="preserve"> </w:t>
      </w:r>
      <w:r w:rsidRPr="00701C66">
        <w:rPr>
          <w:rFonts w:ascii="Trebuchet MS" w:hAnsi="Trebuchet MS"/>
          <w:sz w:val="20"/>
          <w:szCs w:val="20"/>
        </w:rPr>
        <w:t xml:space="preserve">above-inflation hikes in municipal rates and taxes, and rising utilities costs. On a positive note, </w:t>
      </w:r>
      <w:r w:rsidRPr="00701C66">
        <w:rPr>
          <w:rFonts w:ascii="Trebuchet MS" w:hAnsi="Trebuchet MS"/>
          <w:sz w:val="20"/>
          <w:szCs w:val="20"/>
        </w:rPr>
        <w:lastRenderedPageBreak/>
        <w:t xml:space="preserve">with less loadshedding in 2024 so far, diesel spend reduced from R140.0m </w:t>
      </w:r>
      <w:r w:rsidR="00E4058F" w:rsidRPr="00701C66">
        <w:rPr>
          <w:rFonts w:ascii="Trebuchet MS" w:hAnsi="Trebuchet MS"/>
          <w:sz w:val="20"/>
          <w:szCs w:val="20"/>
        </w:rPr>
        <w:t xml:space="preserve">in FY23 </w:t>
      </w:r>
      <w:r w:rsidRPr="00701C66">
        <w:rPr>
          <w:rFonts w:ascii="Trebuchet MS" w:hAnsi="Trebuchet MS"/>
          <w:sz w:val="20"/>
          <w:szCs w:val="20"/>
        </w:rPr>
        <w:t>to R112.6m</w:t>
      </w:r>
      <w:r w:rsidR="007F14E0" w:rsidRPr="00701C66">
        <w:rPr>
          <w:rFonts w:ascii="Trebuchet MS" w:hAnsi="Trebuchet MS"/>
          <w:sz w:val="20"/>
          <w:szCs w:val="20"/>
        </w:rPr>
        <w:t xml:space="preserve"> </w:t>
      </w:r>
      <w:r w:rsidR="00E4058F" w:rsidRPr="00701C66">
        <w:rPr>
          <w:rFonts w:ascii="Trebuchet MS" w:hAnsi="Trebuchet MS"/>
          <w:sz w:val="20"/>
          <w:szCs w:val="20"/>
        </w:rPr>
        <w:t xml:space="preserve">in </w:t>
      </w:r>
      <w:r w:rsidR="007F14E0" w:rsidRPr="00701C66">
        <w:rPr>
          <w:rFonts w:ascii="Trebuchet MS" w:hAnsi="Trebuchet MS"/>
          <w:sz w:val="20"/>
          <w:szCs w:val="20"/>
        </w:rPr>
        <w:t>FY24</w:t>
      </w:r>
      <w:r w:rsidRPr="00701C66">
        <w:rPr>
          <w:rFonts w:ascii="Trebuchet MS" w:hAnsi="Trebuchet MS"/>
          <w:sz w:val="20"/>
          <w:szCs w:val="20"/>
        </w:rPr>
        <w:t xml:space="preserve">, and </w:t>
      </w:r>
      <w:r w:rsidR="00DF647A" w:rsidRPr="00701C66">
        <w:rPr>
          <w:rFonts w:ascii="Trebuchet MS" w:hAnsi="Trebuchet MS"/>
          <w:sz w:val="20"/>
          <w:szCs w:val="20"/>
        </w:rPr>
        <w:t>diesel cost recoveries as a percentage of recoverable diesel spend</w:t>
      </w:r>
      <w:r w:rsidR="005550BA" w:rsidRPr="00701C66">
        <w:rPr>
          <w:rFonts w:ascii="Trebuchet MS" w:hAnsi="Trebuchet MS"/>
          <w:sz w:val="20"/>
          <w:szCs w:val="20"/>
        </w:rPr>
        <w:t xml:space="preserve"> </w:t>
      </w:r>
      <w:r w:rsidR="005B2F9E" w:rsidRPr="00701C66">
        <w:rPr>
          <w:rFonts w:ascii="Trebuchet MS" w:hAnsi="Trebuchet MS"/>
          <w:sz w:val="20"/>
          <w:szCs w:val="20"/>
        </w:rPr>
        <w:t xml:space="preserve">was </w:t>
      </w:r>
      <w:r w:rsidRPr="00701C66">
        <w:rPr>
          <w:rFonts w:ascii="Trebuchet MS" w:hAnsi="Trebuchet MS"/>
          <w:sz w:val="20"/>
          <w:szCs w:val="20"/>
        </w:rPr>
        <w:t xml:space="preserve">82.0%. </w:t>
      </w:r>
    </w:p>
    <w:p w14:paraId="31B1616D" w14:textId="77777777" w:rsidR="007F45B9" w:rsidRPr="00701C66" w:rsidRDefault="007F45B9" w:rsidP="007F45B9">
      <w:pPr>
        <w:pStyle w:val="PlainText"/>
        <w:spacing w:line="276" w:lineRule="auto"/>
        <w:jc w:val="both"/>
        <w:rPr>
          <w:rFonts w:ascii="Trebuchet MS" w:hAnsi="Trebuchet MS"/>
          <w:sz w:val="20"/>
          <w:szCs w:val="20"/>
        </w:rPr>
      </w:pPr>
    </w:p>
    <w:p w14:paraId="7CF373A0" w14:textId="465E7D05"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The </w:t>
      </w:r>
      <w:r w:rsidRPr="00701C66">
        <w:rPr>
          <w:rFonts w:ascii="Trebuchet MS" w:hAnsi="Trebuchet MS"/>
          <w:b/>
          <w:bCs/>
          <w:sz w:val="20"/>
          <w:szCs w:val="20"/>
        </w:rPr>
        <w:t>SA logistics and industrial portfolio</w:t>
      </w:r>
      <w:r w:rsidRPr="00701C66">
        <w:rPr>
          <w:rFonts w:ascii="Trebuchet MS" w:hAnsi="Trebuchet MS"/>
          <w:sz w:val="20"/>
          <w:szCs w:val="20"/>
        </w:rPr>
        <w:t xml:space="preserve"> is well-let despite a few challenging vacancies and has benefited from ongoing leasing success. Like-for-like net property income (NPI) grew by 2.6%. Renewal success increased considerably from 59.1% to 78.3%</w:t>
      </w:r>
      <w:r w:rsidR="000F4CD5">
        <w:rPr>
          <w:rFonts w:ascii="Trebuchet MS" w:hAnsi="Trebuchet MS"/>
          <w:sz w:val="20"/>
          <w:szCs w:val="20"/>
        </w:rPr>
        <w:t>,</w:t>
      </w:r>
      <w:r w:rsidRPr="00701C66">
        <w:rPr>
          <w:rFonts w:ascii="Trebuchet MS" w:hAnsi="Trebuchet MS"/>
          <w:sz w:val="20"/>
          <w:szCs w:val="20"/>
        </w:rPr>
        <w:t xml:space="preserve"> and renewal rental growth </w:t>
      </w:r>
      <w:r w:rsidR="00513765" w:rsidRPr="00701C66">
        <w:rPr>
          <w:rFonts w:ascii="Trebuchet MS" w:hAnsi="Trebuchet MS"/>
          <w:sz w:val="20"/>
          <w:szCs w:val="20"/>
        </w:rPr>
        <w:t xml:space="preserve">moved </w:t>
      </w:r>
      <w:r w:rsidRPr="00701C66">
        <w:rPr>
          <w:rFonts w:ascii="Trebuchet MS" w:hAnsi="Trebuchet MS"/>
          <w:sz w:val="20"/>
          <w:szCs w:val="20"/>
        </w:rPr>
        <w:t>up from -10.4</w:t>
      </w:r>
      <w:r w:rsidR="00F70EBB" w:rsidRPr="00701C66">
        <w:rPr>
          <w:rFonts w:ascii="Trebuchet MS" w:hAnsi="Trebuchet MS"/>
          <w:sz w:val="20"/>
          <w:szCs w:val="20"/>
        </w:rPr>
        <w:t>% to</w:t>
      </w:r>
      <w:r w:rsidRPr="00701C66">
        <w:rPr>
          <w:rFonts w:ascii="Trebuchet MS" w:hAnsi="Trebuchet MS"/>
          <w:sz w:val="20"/>
          <w:szCs w:val="20"/>
        </w:rPr>
        <w:t xml:space="preserve"> -3.3%. </w:t>
      </w:r>
    </w:p>
    <w:p w14:paraId="22A7C9F2" w14:textId="77777777" w:rsidR="007F45B9" w:rsidRPr="00701C66" w:rsidRDefault="007F45B9" w:rsidP="007F45B9">
      <w:pPr>
        <w:pStyle w:val="PlainText"/>
        <w:spacing w:line="276" w:lineRule="auto"/>
        <w:jc w:val="both"/>
        <w:rPr>
          <w:rFonts w:ascii="Trebuchet MS" w:hAnsi="Trebuchet MS"/>
          <w:sz w:val="20"/>
          <w:szCs w:val="20"/>
        </w:rPr>
      </w:pPr>
    </w:p>
    <w:p w14:paraId="19FB1678" w14:textId="10F6D34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Overall, this sector is distinguished by relatively better property dynamics, supporting new developments. During the year it completed the speculative development of 15 units totalling</w:t>
      </w:r>
      <w:r w:rsidR="007F14E0" w:rsidRPr="00701C66">
        <w:rPr>
          <w:rFonts w:ascii="Trebuchet MS" w:hAnsi="Trebuchet MS"/>
          <w:sz w:val="20"/>
          <w:szCs w:val="20"/>
        </w:rPr>
        <w:t xml:space="preserve"> 63</w:t>
      </w:r>
      <w:r w:rsidR="00E4058F" w:rsidRPr="00701C66">
        <w:rPr>
          <w:rFonts w:ascii="Trebuchet MS" w:hAnsi="Trebuchet MS"/>
          <w:sz w:val="20"/>
          <w:szCs w:val="20"/>
        </w:rPr>
        <w:t>,</w:t>
      </w:r>
      <w:r w:rsidR="007F14E0" w:rsidRPr="00701C66">
        <w:rPr>
          <w:rFonts w:ascii="Trebuchet MS" w:hAnsi="Trebuchet MS"/>
          <w:sz w:val="20"/>
          <w:szCs w:val="20"/>
        </w:rPr>
        <w:t>017</w:t>
      </w:r>
      <w:r w:rsidRPr="00701C66">
        <w:rPr>
          <w:rFonts w:ascii="Trebuchet MS" w:hAnsi="Trebuchet MS"/>
          <w:sz w:val="20"/>
          <w:szCs w:val="20"/>
        </w:rPr>
        <w:t xml:space="preserve">sqm across Cape Town, KZN and Gauteng, all of which have experienced good leasing uptake. It also completed two client-driven developments in Gauteng, including a </w:t>
      </w:r>
      <w:r w:rsidR="00A42EC4" w:rsidRPr="00701C66">
        <w:rPr>
          <w:rFonts w:ascii="Trebuchet MS" w:hAnsi="Trebuchet MS"/>
          <w:sz w:val="20"/>
          <w:szCs w:val="20"/>
        </w:rPr>
        <w:t>28</w:t>
      </w:r>
      <w:r w:rsidRPr="00701C66">
        <w:rPr>
          <w:rFonts w:ascii="Trebuchet MS" w:hAnsi="Trebuchet MS"/>
          <w:sz w:val="20"/>
          <w:szCs w:val="20"/>
        </w:rPr>
        <w:t>,375sqm logistics warehouse in Isando.</w:t>
      </w:r>
    </w:p>
    <w:p w14:paraId="5099ACFE" w14:textId="77777777"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 </w:t>
      </w:r>
    </w:p>
    <w:p w14:paraId="328E7D57" w14:textId="00525F02"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The </w:t>
      </w:r>
      <w:r w:rsidRPr="00701C66">
        <w:rPr>
          <w:rFonts w:ascii="Trebuchet MS" w:hAnsi="Trebuchet MS"/>
          <w:b/>
          <w:bCs/>
          <w:sz w:val="20"/>
          <w:szCs w:val="20"/>
        </w:rPr>
        <w:t>SA retail property portfolio</w:t>
      </w:r>
      <w:r w:rsidRPr="00701C66">
        <w:rPr>
          <w:rFonts w:ascii="Trebuchet MS" w:hAnsi="Trebuchet MS"/>
          <w:sz w:val="20"/>
          <w:szCs w:val="20"/>
        </w:rPr>
        <w:t xml:space="preserve"> like-for-like NPI increased substantially, swinging positive from -1.7%</w:t>
      </w:r>
      <w:r w:rsidR="007F14E0" w:rsidRPr="00701C66">
        <w:rPr>
          <w:rFonts w:ascii="Trebuchet MS" w:hAnsi="Trebuchet MS"/>
          <w:sz w:val="20"/>
          <w:szCs w:val="20"/>
        </w:rPr>
        <w:t xml:space="preserve"> for FY23</w:t>
      </w:r>
      <w:r w:rsidRPr="00701C66">
        <w:rPr>
          <w:rFonts w:ascii="Trebuchet MS" w:hAnsi="Trebuchet MS"/>
          <w:sz w:val="20"/>
          <w:szCs w:val="20"/>
        </w:rPr>
        <w:t xml:space="preserve"> to +4.1%</w:t>
      </w:r>
      <w:r w:rsidR="007F14E0" w:rsidRPr="00701C66">
        <w:rPr>
          <w:rFonts w:ascii="Trebuchet MS" w:hAnsi="Trebuchet MS"/>
          <w:sz w:val="20"/>
          <w:szCs w:val="20"/>
        </w:rPr>
        <w:t xml:space="preserve"> for FY24</w:t>
      </w:r>
      <w:r w:rsidRPr="00701C66">
        <w:rPr>
          <w:rFonts w:ascii="Trebuchet MS" w:hAnsi="Trebuchet MS"/>
          <w:sz w:val="20"/>
          <w:szCs w:val="20"/>
        </w:rPr>
        <w:t>, and the portfolio value increased by 0.9%. Its core vacancy remained low, at 4</w:t>
      </w:r>
      <w:r w:rsidR="007F14E0" w:rsidRPr="00701C66">
        <w:rPr>
          <w:rFonts w:ascii="Trebuchet MS" w:hAnsi="Trebuchet MS"/>
          <w:sz w:val="20"/>
          <w:szCs w:val="20"/>
        </w:rPr>
        <w:t>.0</w:t>
      </w:r>
      <w:r w:rsidRPr="00701C66">
        <w:rPr>
          <w:rFonts w:ascii="Trebuchet MS" w:hAnsi="Trebuchet MS"/>
          <w:sz w:val="20"/>
          <w:szCs w:val="20"/>
        </w:rPr>
        <w:t xml:space="preserve">%. Growthpoint’s retail portfolio continued to benefit from refurbishments and extensions at several malls, and strong trading density </w:t>
      </w:r>
      <w:r w:rsidR="001E4EFF" w:rsidRPr="00701C66">
        <w:rPr>
          <w:rFonts w:ascii="Trebuchet MS" w:hAnsi="Trebuchet MS"/>
          <w:sz w:val="20"/>
          <w:szCs w:val="20"/>
        </w:rPr>
        <w:t>grow</w:t>
      </w:r>
      <w:r w:rsidR="001E4EFF">
        <w:rPr>
          <w:rFonts w:ascii="Trebuchet MS" w:hAnsi="Trebuchet MS"/>
          <w:sz w:val="20"/>
          <w:szCs w:val="20"/>
        </w:rPr>
        <w:t>th of</w:t>
      </w:r>
      <w:r w:rsidR="001E4EFF" w:rsidRPr="00701C66">
        <w:rPr>
          <w:rFonts w:ascii="Trebuchet MS" w:hAnsi="Trebuchet MS"/>
          <w:sz w:val="20"/>
          <w:szCs w:val="20"/>
        </w:rPr>
        <w:t xml:space="preserve"> </w:t>
      </w:r>
      <w:r w:rsidRPr="00701C66">
        <w:rPr>
          <w:rFonts w:ascii="Trebuchet MS" w:hAnsi="Trebuchet MS"/>
          <w:sz w:val="20"/>
          <w:szCs w:val="20"/>
        </w:rPr>
        <w:t xml:space="preserve">4.1% </w:t>
      </w:r>
      <w:r w:rsidR="001E4EFF" w:rsidRPr="008511C9">
        <w:rPr>
          <w:rFonts w:ascii="Trebuchet MS" w:hAnsi="Trebuchet MS"/>
          <w:sz w:val="20"/>
          <w:szCs w:val="20"/>
        </w:rPr>
        <w:t>(FY23:</w:t>
      </w:r>
      <w:r w:rsidR="003B16DF" w:rsidRPr="00701C66">
        <w:rPr>
          <w:rFonts w:ascii="Trebuchet MS" w:hAnsi="Trebuchet MS"/>
          <w:sz w:val="20"/>
          <w:szCs w:val="20"/>
        </w:rPr>
        <w:t>6.2%</w:t>
      </w:r>
      <w:r w:rsidR="001E4EFF">
        <w:rPr>
          <w:rFonts w:ascii="Trebuchet MS" w:hAnsi="Trebuchet MS"/>
          <w:sz w:val="20"/>
          <w:szCs w:val="20"/>
        </w:rPr>
        <w:t>)</w:t>
      </w:r>
      <w:r w:rsidR="003B16DF" w:rsidRPr="00701C66">
        <w:rPr>
          <w:rFonts w:ascii="Trebuchet MS" w:hAnsi="Trebuchet MS"/>
          <w:sz w:val="20"/>
          <w:szCs w:val="20"/>
        </w:rPr>
        <w:t xml:space="preserve"> with </w:t>
      </w:r>
      <w:r w:rsidRPr="00701C66">
        <w:rPr>
          <w:rFonts w:ascii="Trebuchet MS" w:hAnsi="Trebuchet MS"/>
          <w:sz w:val="20"/>
          <w:szCs w:val="20"/>
        </w:rPr>
        <w:t>the Western Cape outperforming at 5.7%.</w:t>
      </w:r>
    </w:p>
    <w:p w14:paraId="1F6B501E" w14:textId="77777777" w:rsidR="007F45B9" w:rsidRPr="00701C66" w:rsidRDefault="007F45B9" w:rsidP="007F45B9">
      <w:pPr>
        <w:pStyle w:val="PlainText"/>
        <w:spacing w:line="276" w:lineRule="auto"/>
        <w:jc w:val="both"/>
        <w:rPr>
          <w:rFonts w:ascii="Trebuchet MS" w:hAnsi="Trebuchet MS"/>
          <w:sz w:val="20"/>
          <w:szCs w:val="20"/>
        </w:rPr>
      </w:pPr>
    </w:p>
    <w:p w14:paraId="72ED5CBF" w14:textId="5AD91175"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In addition to the upgrades and extensions at River Square and Vaal Mall completed during the year, Growthpoint is set to finish the major redevelopment of </w:t>
      </w:r>
      <w:proofErr w:type="spellStart"/>
      <w:r w:rsidRPr="00701C66">
        <w:rPr>
          <w:rFonts w:ascii="Trebuchet MS" w:hAnsi="Trebuchet MS"/>
          <w:sz w:val="20"/>
          <w:szCs w:val="20"/>
        </w:rPr>
        <w:t>Bayside</w:t>
      </w:r>
      <w:proofErr w:type="spellEnd"/>
      <w:r w:rsidRPr="00701C66">
        <w:rPr>
          <w:rFonts w:ascii="Trebuchet MS" w:hAnsi="Trebuchet MS"/>
          <w:sz w:val="20"/>
          <w:szCs w:val="20"/>
        </w:rPr>
        <w:t xml:space="preserve"> Mall in November 2024. Its upgrade of Beacon Bay Retail, including a 3,100sqm expansion</w:t>
      </w:r>
      <w:r w:rsidR="000F4CD5">
        <w:rPr>
          <w:rFonts w:ascii="Trebuchet MS" w:hAnsi="Trebuchet MS"/>
          <w:sz w:val="20"/>
          <w:szCs w:val="20"/>
        </w:rPr>
        <w:t xml:space="preserve"> incorporating </w:t>
      </w:r>
      <w:r w:rsidRPr="00701C66">
        <w:rPr>
          <w:rFonts w:ascii="Trebuchet MS" w:hAnsi="Trebuchet MS"/>
          <w:sz w:val="20"/>
          <w:szCs w:val="20"/>
        </w:rPr>
        <w:t xml:space="preserve">Builders Express, is scheduled for completion in June 2025. The </w:t>
      </w:r>
      <w:proofErr w:type="spellStart"/>
      <w:r w:rsidRPr="00701C66">
        <w:rPr>
          <w:rFonts w:ascii="Trebuchet MS" w:hAnsi="Trebuchet MS"/>
          <w:sz w:val="20"/>
          <w:szCs w:val="20"/>
        </w:rPr>
        <w:t>Longbeach</w:t>
      </w:r>
      <w:proofErr w:type="spellEnd"/>
      <w:r w:rsidRPr="00701C66">
        <w:rPr>
          <w:rFonts w:ascii="Trebuchet MS" w:hAnsi="Trebuchet MS"/>
          <w:sz w:val="20"/>
          <w:szCs w:val="20"/>
        </w:rPr>
        <w:t xml:space="preserve"> Mall extension for </w:t>
      </w:r>
      <w:r w:rsidR="000F4CD5">
        <w:rPr>
          <w:rFonts w:ascii="Trebuchet MS" w:hAnsi="Trebuchet MS"/>
          <w:sz w:val="20"/>
          <w:szCs w:val="20"/>
        </w:rPr>
        <w:t>its</w:t>
      </w:r>
      <w:r w:rsidRPr="00701C66">
        <w:rPr>
          <w:rFonts w:ascii="Trebuchet MS" w:hAnsi="Trebuchet MS"/>
          <w:sz w:val="20"/>
          <w:szCs w:val="20"/>
        </w:rPr>
        <w:t xml:space="preserve"> 2,300sqm Builders Express will be ready in November 2025. </w:t>
      </w:r>
    </w:p>
    <w:p w14:paraId="170C0107" w14:textId="77777777" w:rsidR="007F45B9" w:rsidRPr="00701C66" w:rsidRDefault="007F45B9" w:rsidP="007F45B9">
      <w:pPr>
        <w:pStyle w:val="PlainText"/>
        <w:spacing w:line="276" w:lineRule="auto"/>
        <w:jc w:val="both"/>
        <w:rPr>
          <w:rFonts w:ascii="Trebuchet MS" w:hAnsi="Trebuchet MS"/>
          <w:sz w:val="20"/>
          <w:szCs w:val="20"/>
        </w:rPr>
      </w:pPr>
    </w:p>
    <w:p w14:paraId="429023EA" w14:textId="731B3964"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The office sector continued </w:t>
      </w:r>
      <w:r w:rsidR="000C6E24" w:rsidRPr="00701C66">
        <w:rPr>
          <w:rFonts w:ascii="Trebuchet MS" w:hAnsi="Trebuchet MS"/>
          <w:sz w:val="20"/>
          <w:szCs w:val="20"/>
        </w:rPr>
        <w:t>to</w:t>
      </w:r>
      <w:r w:rsidRPr="00701C66">
        <w:rPr>
          <w:rFonts w:ascii="Trebuchet MS" w:hAnsi="Trebuchet MS"/>
          <w:sz w:val="20"/>
          <w:szCs w:val="20"/>
        </w:rPr>
        <w:t xml:space="preserve"> recover as people return</w:t>
      </w:r>
      <w:r w:rsidR="000F4CD5">
        <w:rPr>
          <w:rFonts w:ascii="Trebuchet MS" w:hAnsi="Trebuchet MS"/>
          <w:sz w:val="20"/>
          <w:szCs w:val="20"/>
        </w:rPr>
        <w:t>ed</w:t>
      </w:r>
      <w:r w:rsidRPr="00701C66">
        <w:rPr>
          <w:rFonts w:ascii="Trebuchet MS" w:hAnsi="Trebuchet MS"/>
          <w:sz w:val="20"/>
          <w:szCs w:val="20"/>
        </w:rPr>
        <w:t xml:space="preserve"> to offices, and Growthpoint’s </w:t>
      </w:r>
      <w:r w:rsidRPr="00701C66">
        <w:rPr>
          <w:rFonts w:ascii="Trebuchet MS" w:hAnsi="Trebuchet MS"/>
          <w:b/>
          <w:bCs/>
          <w:sz w:val="20"/>
          <w:szCs w:val="20"/>
        </w:rPr>
        <w:t>SA office property portfolio</w:t>
      </w:r>
      <w:r w:rsidRPr="00701C66">
        <w:rPr>
          <w:rFonts w:ascii="Trebuchet MS" w:hAnsi="Trebuchet MS"/>
          <w:sz w:val="20"/>
          <w:szCs w:val="20"/>
        </w:rPr>
        <w:t xml:space="preserve"> showed a welcome increase in value </w:t>
      </w:r>
      <w:r w:rsidR="00776809" w:rsidRPr="00701C66">
        <w:rPr>
          <w:rFonts w:ascii="Trebuchet MS" w:hAnsi="Trebuchet MS"/>
          <w:sz w:val="20"/>
          <w:szCs w:val="20"/>
        </w:rPr>
        <w:t xml:space="preserve">of </w:t>
      </w:r>
      <w:r w:rsidRPr="00701C66">
        <w:rPr>
          <w:rFonts w:ascii="Trebuchet MS" w:hAnsi="Trebuchet MS"/>
          <w:sz w:val="20"/>
          <w:szCs w:val="20"/>
        </w:rPr>
        <w:t xml:space="preserve">1.2% after </w:t>
      </w:r>
      <w:r w:rsidR="00CE3D21" w:rsidRPr="00701C66">
        <w:rPr>
          <w:rFonts w:ascii="Trebuchet MS" w:hAnsi="Trebuchet MS"/>
          <w:sz w:val="20"/>
          <w:szCs w:val="20"/>
        </w:rPr>
        <w:t xml:space="preserve">printing </w:t>
      </w:r>
      <w:r w:rsidRPr="00701C66">
        <w:rPr>
          <w:rFonts w:ascii="Trebuchet MS" w:hAnsi="Trebuchet MS"/>
          <w:sz w:val="20"/>
          <w:szCs w:val="20"/>
        </w:rPr>
        <w:t xml:space="preserve">a 0.9% decline in the prior year’s value. Vacancies </w:t>
      </w:r>
      <w:r w:rsidR="000F4CD5">
        <w:rPr>
          <w:rFonts w:ascii="Trebuchet MS" w:hAnsi="Trebuchet MS"/>
          <w:sz w:val="20"/>
          <w:szCs w:val="20"/>
        </w:rPr>
        <w:t xml:space="preserve">were </w:t>
      </w:r>
      <w:r w:rsidRPr="00701C66">
        <w:rPr>
          <w:rFonts w:ascii="Trebuchet MS" w:hAnsi="Trebuchet MS"/>
          <w:sz w:val="20"/>
          <w:szCs w:val="20"/>
        </w:rPr>
        <w:t>reduced yet again across all nodes, improving from 19.2%</w:t>
      </w:r>
      <w:r w:rsidR="000C6E24" w:rsidRPr="00701C66">
        <w:rPr>
          <w:rFonts w:ascii="Trebuchet MS" w:hAnsi="Trebuchet MS"/>
          <w:sz w:val="20"/>
          <w:szCs w:val="20"/>
        </w:rPr>
        <w:t xml:space="preserve"> </w:t>
      </w:r>
      <w:r w:rsidRPr="00701C66">
        <w:rPr>
          <w:rFonts w:ascii="Trebuchet MS" w:hAnsi="Trebuchet MS"/>
          <w:sz w:val="20"/>
          <w:szCs w:val="20"/>
        </w:rPr>
        <w:t>to 15.1%</w:t>
      </w:r>
      <w:r w:rsidR="000C6E24" w:rsidRPr="00701C66">
        <w:rPr>
          <w:rFonts w:ascii="Trebuchet MS" w:hAnsi="Trebuchet MS"/>
          <w:sz w:val="20"/>
          <w:szCs w:val="20"/>
        </w:rPr>
        <w:t xml:space="preserve"> at FY24</w:t>
      </w:r>
      <w:r w:rsidRPr="00701C66">
        <w:rPr>
          <w:rFonts w:ascii="Trebuchet MS" w:hAnsi="Trebuchet MS"/>
          <w:sz w:val="20"/>
          <w:szCs w:val="20"/>
        </w:rPr>
        <w:t>. Sandton</w:t>
      </w:r>
      <w:r w:rsidR="000F4CD5">
        <w:rPr>
          <w:rFonts w:ascii="Trebuchet MS" w:hAnsi="Trebuchet MS"/>
          <w:sz w:val="20"/>
          <w:szCs w:val="20"/>
        </w:rPr>
        <w:t>,</w:t>
      </w:r>
      <w:r w:rsidRPr="00701C66">
        <w:rPr>
          <w:rFonts w:ascii="Trebuchet MS" w:hAnsi="Trebuchet MS"/>
          <w:sz w:val="20"/>
          <w:szCs w:val="20"/>
        </w:rPr>
        <w:t xml:space="preserve"> which represents 22.2% of Growthpoint’s office portfolio, showed a particularly </w:t>
      </w:r>
      <w:r w:rsidR="00A03572" w:rsidRPr="00701C66">
        <w:rPr>
          <w:rFonts w:ascii="Trebuchet MS" w:hAnsi="Trebuchet MS"/>
          <w:sz w:val="20"/>
          <w:szCs w:val="20"/>
        </w:rPr>
        <w:t>notable change</w:t>
      </w:r>
      <w:r w:rsidRPr="00701C66">
        <w:rPr>
          <w:rFonts w:ascii="Trebuchet MS" w:hAnsi="Trebuchet MS"/>
          <w:sz w:val="20"/>
          <w:szCs w:val="20"/>
        </w:rPr>
        <w:t xml:space="preserve"> for the better, with vacancies reducing by around 33,000sqm during the period, taking the node’s vacancy rate from 28.7%</w:t>
      </w:r>
      <w:r w:rsidR="000C6E24" w:rsidRPr="00701C66">
        <w:rPr>
          <w:rFonts w:ascii="Trebuchet MS" w:hAnsi="Trebuchet MS"/>
          <w:sz w:val="20"/>
          <w:szCs w:val="20"/>
        </w:rPr>
        <w:t xml:space="preserve"> at FY23</w:t>
      </w:r>
      <w:r w:rsidRPr="00701C66">
        <w:rPr>
          <w:rFonts w:ascii="Trebuchet MS" w:hAnsi="Trebuchet MS"/>
          <w:sz w:val="20"/>
          <w:szCs w:val="20"/>
        </w:rPr>
        <w:t xml:space="preserve"> to a much improved 20.1%</w:t>
      </w:r>
      <w:r w:rsidR="000C6E24" w:rsidRPr="00701C66">
        <w:rPr>
          <w:rFonts w:ascii="Trebuchet MS" w:hAnsi="Trebuchet MS"/>
          <w:sz w:val="20"/>
          <w:szCs w:val="20"/>
        </w:rPr>
        <w:t xml:space="preserve"> at FY24</w:t>
      </w:r>
      <w:r w:rsidRPr="00701C66">
        <w:rPr>
          <w:rFonts w:ascii="Trebuchet MS" w:hAnsi="Trebuchet MS"/>
          <w:sz w:val="20"/>
          <w:szCs w:val="20"/>
        </w:rPr>
        <w:t>. Like-for-like NPI for this sector continued to firm, moving from</w:t>
      </w:r>
      <w:r w:rsidR="006C22A9" w:rsidRPr="00701C66">
        <w:rPr>
          <w:rFonts w:ascii="Trebuchet MS" w:hAnsi="Trebuchet MS"/>
          <w:sz w:val="20"/>
          <w:szCs w:val="20"/>
        </w:rPr>
        <w:t xml:space="preserve"> </w:t>
      </w:r>
      <w:r w:rsidRPr="00701C66">
        <w:rPr>
          <w:rFonts w:ascii="Trebuchet MS" w:hAnsi="Trebuchet MS"/>
          <w:sz w:val="20"/>
          <w:szCs w:val="20"/>
        </w:rPr>
        <w:t>-1.9%</w:t>
      </w:r>
      <w:r w:rsidR="000C6E24" w:rsidRPr="00701C66">
        <w:rPr>
          <w:rFonts w:ascii="Trebuchet MS" w:hAnsi="Trebuchet MS"/>
          <w:sz w:val="20"/>
          <w:szCs w:val="20"/>
        </w:rPr>
        <w:t xml:space="preserve"> for FY23</w:t>
      </w:r>
      <w:r w:rsidRPr="00701C66">
        <w:rPr>
          <w:rFonts w:ascii="Trebuchet MS" w:hAnsi="Trebuchet MS"/>
          <w:sz w:val="20"/>
          <w:szCs w:val="20"/>
        </w:rPr>
        <w:t xml:space="preserve"> to -1</w:t>
      </w:r>
      <w:r w:rsidR="006C22A9" w:rsidRPr="00701C66">
        <w:rPr>
          <w:rFonts w:ascii="Trebuchet MS" w:hAnsi="Trebuchet MS"/>
          <w:sz w:val="20"/>
          <w:szCs w:val="20"/>
        </w:rPr>
        <w:t>.0</w:t>
      </w:r>
      <w:r w:rsidRPr="00701C66">
        <w:rPr>
          <w:rFonts w:ascii="Trebuchet MS" w:hAnsi="Trebuchet MS"/>
          <w:sz w:val="20"/>
          <w:szCs w:val="20"/>
        </w:rPr>
        <w:t>%</w:t>
      </w:r>
      <w:r w:rsidR="000C6E24" w:rsidRPr="00701C66">
        <w:rPr>
          <w:rFonts w:ascii="Trebuchet MS" w:hAnsi="Trebuchet MS"/>
          <w:sz w:val="20"/>
          <w:szCs w:val="20"/>
        </w:rPr>
        <w:t xml:space="preserve"> for FY24</w:t>
      </w:r>
      <w:r w:rsidRPr="00701C66">
        <w:rPr>
          <w:rFonts w:ascii="Trebuchet MS" w:hAnsi="Trebuchet MS"/>
          <w:sz w:val="20"/>
          <w:szCs w:val="20"/>
        </w:rPr>
        <w:t>.</w:t>
      </w:r>
      <w:r w:rsidR="00001777" w:rsidRPr="00701C66">
        <w:rPr>
          <w:rFonts w:ascii="Trebuchet MS" w:hAnsi="Trebuchet MS"/>
          <w:sz w:val="20"/>
          <w:szCs w:val="20"/>
        </w:rPr>
        <w:t xml:space="preserve"> </w:t>
      </w:r>
      <w:r w:rsidR="000F4CD5">
        <w:rPr>
          <w:rFonts w:ascii="Trebuchet MS" w:hAnsi="Trebuchet MS"/>
          <w:sz w:val="20"/>
          <w:szCs w:val="20"/>
        </w:rPr>
        <w:t>Similarly, r</w:t>
      </w:r>
      <w:r w:rsidR="00001777" w:rsidRPr="00701C66">
        <w:rPr>
          <w:rFonts w:ascii="Trebuchet MS" w:hAnsi="Trebuchet MS"/>
          <w:sz w:val="20"/>
          <w:szCs w:val="20"/>
        </w:rPr>
        <w:t>en</w:t>
      </w:r>
      <w:r w:rsidR="000600E9" w:rsidRPr="00701C66">
        <w:rPr>
          <w:rFonts w:ascii="Trebuchet MS" w:hAnsi="Trebuchet MS"/>
          <w:sz w:val="20"/>
          <w:szCs w:val="20"/>
        </w:rPr>
        <w:t>ewal growth also improved significantly from -20.1% to -14.8%</w:t>
      </w:r>
      <w:r w:rsidR="000F4CD5">
        <w:rPr>
          <w:rFonts w:ascii="Trebuchet MS" w:hAnsi="Trebuchet MS"/>
          <w:sz w:val="20"/>
          <w:szCs w:val="20"/>
        </w:rPr>
        <w:t>.</w:t>
      </w:r>
    </w:p>
    <w:p w14:paraId="2EBE8E97" w14:textId="77777777" w:rsidR="007F45B9" w:rsidRPr="00701C66" w:rsidRDefault="007F45B9" w:rsidP="007F45B9">
      <w:pPr>
        <w:pStyle w:val="PlainText"/>
        <w:spacing w:line="276" w:lineRule="auto"/>
        <w:jc w:val="both"/>
        <w:rPr>
          <w:rFonts w:ascii="Trebuchet MS" w:hAnsi="Trebuchet MS"/>
          <w:sz w:val="20"/>
          <w:szCs w:val="20"/>
        </w:rPr>
      </w:pPr>
    </w:p>
    <w:p w14:paraId="5F7114BD" w14:textId="2253BE33"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 has two demand-driven developments underway in its office portfolio. It has initiated a net-zero carbon redevelopment at 36 Hans Strydom in Cape Town for </w:t>
      </w:r>
      <w:proofErr w:type="gramStart"/>
      <w:r w:rsidRPr="00701C66">
        <w:rPr>
          <w:rFonts w:ascii="Trebuchet MS" w:hAnsi="Trebuchet MS"/>
          <w:sz w:val="20"/>
          <w:szCs w:val="20"/>
        </w:rPr>
        <w:t>Ninety One</w:t>
      </w:r>
      <w:proofErr w:type="gramEnd"/>
      <w:r w:rsidRPr="00701C66">
        <w:rPr>
          <w:rFonts w:ascii="Trebuchet MS" w:hAnsi="Trebuchet MS"/>
          <w:sz w:val="20"/>
          <w:szCs w:val="20"/>
        </w:rPr>
        <w:t>, who will occupy the building on a 15-year lease once completed in July 2025. Additionally, in response to tourism and hospitality demand in the Western Cape, Growthpoint is developing the 154-room Hilton Canopy Hotel in its Longkloof mixed-use precinct, set to open in December 2024.</w:t>
      </w:r>
    </w:p>
    <w:p w14:paraId="1035875B" w14:textId="77777777" w:rsidR="007F45B9" w:rsidRPr="00701C66" w:rsidRDefault="007F45B9" w:rsidP="007F45B9">
      <w:pPr>
        <w:pStyle w:val="PlainText"/>
        <w:spacing w:line="276" w:lineRule="auto"/>
        <w:jc w:val="both"/>
        <w:rPr>
          <w:rFonts w:ascii="Trebuchet MS" w:hAnsi="Trebuchet MS"/>
          <w:sz w:val="20"/>
          <w:szCs w:val="20"/>
        </w:rPr>
      </w:pPr>
    </w:p>
    <w:p w14:paraId="709668BA" w14:textId="3E43C2C7" w:rsidR="007F45B9" w:rsidRPr="00701C66" w:rsidRDefault="000F4CD5" w:rsidP="007F45B9">
      <w:pPr>
        <w:pStyle w:val="PlainText"/>
        <w:spacing w:line="276" w:lineRule="auto"/>
        <w:jc w:val="both"/>
        <w:rPr>
          <w:rFonts w:ascii="Trebuchet MS" w:hAnsi="Trebuchet MS"/>
          <w:sz w:val="20"/>
          <w:szCs w:val="20"/>
        </w:rPr>
      </w:pPr>
      <w:r>
        <w:rPr>
          <w:rFonts w:ascii="Trebuchet MS" w:hAnsi="Trebuchet MS"/>
          <w:sz w:val="20"/>
          <w:szCs w:val="20"/>
        </w:rPr>
        <w:t xml:space="preserve">Continuing </w:t>
      </w:r>
      <w:r w:rsidR="007F45B9" w:rsidRPr="00701C66">
        <w:rPr>
          <w:rFonts w:ascii="Trebuchet MS" w:hAnsi="Trebuchet MS"/>
          <w:sz w:val="20"/>
          <w:szCs w:val="20"/>
        </w:rPr>
        <w:t>to invest in the quality of its SA portfolio</w:t>
      </w:r>
      <w:r>
        <w:rPr>
          <w:rFonts w:ascii="Trebuchet MS" w:hAnsi="Trebuchet MS"/>
          <w:sz w:val="20"/>
          <w:szCs w:val="20"/>
        </w:rPr>
        <w:t>, Growthpoint</w:t>
      </w:r>
      <w:r w:rsidR="007F45B9" w:rsidRPr="00701C66">
        <w:rPr>
          <w:rFonts w:ascii="Trebuchet MS" w:hAnsi="Trebuchet MS"/>
          <w:sz w:val="20"/>
          <w:szCs w:val="20"/>
        </w:rPr>
        <w:t xml:space="preserve"> has committed R1.5bn to furthering this in FY25. Growthpoint’s in-house </w:t>
      </w:r>
      <w:r w:rsidR="007F45B9" w:rsidRPr="00701C66">
        <w:rPr>
          <w:rFonts w:ascii="Trebuchet MS" w:hAnsi="Trebuchet MS"/>
          <w:b/>
          <w:bCs/>
          <w:sz w:val="20"/>
          <w:szCs w:val="20"/>
        </w:rPr>
        <w:t>trading and development</w:t>
      </w:r>
      <w:r w:rsidR="007F45B9" w:rsidRPr="00701C66">
        <w:rPr>
          <w:rFonts w:ascii="Trebuchet MS" w:hAnsi="Trebuchet MS"/>
          <w:sz w:val="20"/>
          <w:szCs w:val="20"/>
        </w:rPr>
        <w:t xml:space="preserve"> division develops assets for its own balance sheet, earns development fees from external projects and profits from</w:t>
      </w:r>
      <w:r w:rsidR="00FA28E0" w:rsidRPr="00701C66">
        <w:rPr>
          <w:rFonts w:ascii="Trebuchet MS" w:hAnsi="Trebuchet MS"/>
          <w:sz w:val="20"/>
          <w:szCs w:val="20"/>
        </w:rPr>
        <w:t xml:space="preserve"> </w:t>
      </w:r>
      <w:r>
        <w:rPr>
          <w:rFonts w:ascii="Trebuchet MS" w:hAnsi="Trebuchet MS"/>
          <w:sz w:val="20"/>
          <w:szCs w:val="20"/>
        </w:rPr>
        <w:t>the sale</w:t>
      </w:r>
      <w:r w:rsidR="00FA28E0" w:rsidRPr="00701C66">
        <w:rPr>
          <w:rFonts w:ascii="Trebuchet MS" w:hAnsi="Trebuchet MS"/>
          <w:sz w:val="20"/>
          <w:szCs w:val="20"/>
        </w:rPr>
        <w:t xml:space="preserve"> of</w:t>
      </w:r>
      <w:r w:rsidR="007F45B9" w:rsidRPr="00701C66">
        <w:rPr>
          <w:rFonts w:ascii="Trebuchet MS" w:hAnsi="Trebuchet MS"/>
          <w:sz w:val="20"/>
          <w:szCs w:val="20"/>
        </w:rPr>
        <w:t xml:space="preserve"> trading</w:t>
      </w:r>
      <w:r w:rsidR="00FA28E0" w:rsidRPr="00701C66">
        <w:rPr>
          <w:rFonts w:ascii="Trebuchet MS" w:hAnsi="Trebuchet MS"/>
          <w:sz w:val="20"/>
          <w:szCs w:val="20"/>
        </w:rPr>
        <w:t xml:space="preserve"> </w:t>
      </w:r>
      <w:r>
        <w:rPr>
          <w:rFonts w:ascii="Trebuchet MS" w:hAnsi="Trebuchet MS"/>
          <w:sz w:val="20"/>
          <w:szCs w:val="20"/>
        </w:rPr>
        <w:t>and</w:t>
      </w:r>
      <w:r w:rsidR="00FA28E0" w:rsidRPr="00701C66">
        <w:rPr>
          <w:rFonts w:ascii="Trebuchet MS" w:hAnsi="Trebuchet MS"/>
          <w:sz w:val="20"/>
          <w:szCs w:val="20"/>
        </w:rPr>
        <w:t xml:space="preserve"> development assets</w:t>
      </w:r>
      <w:r w:rsidR="007F45B9" w:rsidRPr="00701C66">
        <w:rPr>
          <w:rFonts w:ascii="Trebuchet MS" w:hAnsi="Trebuchet MS"/>
          <w:sz w:val="20"/>
          <w:szCs w:val="20"/>
        </w:rPr>
        <w:t xml:space="preserve">, and </w:t>
      </w:r>
      <w:r w:rsidR="00715EED" w:rsidRPr="00701C66">
        <w:rPr>
          <w:rFonts w:ascii="Trebuchet MS" w:hAnsi="Trebuchet MS"/>
          <w:sz w:val="20"/>
          <w:szCs w:val="20"/>
        </w:rPr>
        <w:t xml:space="preserve">development </w:t>
      </w:r>
      <w:r w:rsidR="007F45B9" w:rsidRPr="00701C66">
        <w:rPr>
          <w:rFonts w:ascii="Trebuchet MS" w:hAnsi="Trebuchet MS"/>
          <w:sz w:val="20"/>
          <w:szCs w:val="20"/>
        </w:rPr>
        <w:t xml:space="preserve">projects for Growthpoint Investment Partners. This year the division </w:t>
      </w:r>
      <w:r w:rsidR="00FA28E0" w:rsidRPr="00701C66">
        <w:rPr>
          <w:rFonts w:ascii="Trebuchet MS" w:hAnsi="Trebuchet MS"/>
          <w:sz w:val="20"/>
          <w:szCs w:val="20"/>
        </w:rPr>
        <w:t>earned</w:t>
      </w:r>
      <w:r w:rsidR="007F45B9" w:rsidRPr="00701C66">
        <w:rPr>
          <w:rFonts w:ascii="Trebuchet MS" w:hAnsi="Trebuchet MS"/>
          <w:sz w:val="20"/>
          <w:szCs w:val="20"/>
        </w:rPr>
        <w:t xml:space="preserve"> R42.2m of trading profits</w:t>
      </w:r>
      <w:r w:rsidR="00FA28E0" w:rsidRPr="00701C66">
        <w:rPr>
          <w:rFonts w:ascii="Trebuchet MS" w:hAnsi="Trebuchet MS"/>
          <w:sz w:val="20"/>
          <w:szCs w:val="20"/>
        </w:rPr>
        <w:t>,</w:t>
      </w:r>
      <w:r w:rsidR="009F042D" w:rsidRPr="00701C66">
        <w:rPr>
          <w:rFonts w:ascii="Trebuchet MS" w:hAnsi="Trebuchet MS"/>
          <w:sz w:val="20"/>
          <w:szCs w:val="20"/>
        </w:rPr>
        <w:t xml:space="preserve"> </w:t>
      </w:r>
      <w:r w:rsidR="007F45B9" w:rsidRPr="00701C66">
        <w:rPr>
          <w:rFonts w:ascii="Trebuchet MS" w:hAnsi="Trebuchet MS"/>
          <w:sz w:val="20"/>
          <w:szCs w:val="20"/>
        </w:rPr>
        <w:t xml:space="preserve">R9.8m of development fees and R25.4m of </w:t>
      </w:r>
      <w:r w:rsidR="00FA28E0" w:rsidRPr="00701C66">
        <w:rPr>
          <w:rFonts w:ascii="Trebuchet MS" w:hAnsi="Trebuchet MS"/>
          <w:sz w:val="20"/>
          <w:szCs w:val="20"/>
        </w:rPr>
        <w:t>net property income</w:t>
      </w:r>
      <w:r w:rsidR="007F45B9" w:rsidRPr="00701C66">
        <w:rPr>
          <w:rFonts w:ascii="Trebuchet MS" w:hAnsi="Trebuchet MS"/>
          <w:sz w:val="20"/>
          <w:szCs w:val="20"/>
        </w:rPr>
        <w:t xml:space="preserve">. </w:t>
      </w:r>
    </w:p>
    <w:p w14:paraId="553C8A06" w14:textId="77777777" w:rsidR="007F45B9" w:rsidRPr="00701C66" w:rsidRDefault="007F45B9" w:rsidP="007F45B9">
      <w:pPr>
        <w:pStyle w:val="PlainText"/>
        <w:spacing w:line="276" w:lineRule="auto"/>
        <w:jc w:val="both"/>
        <w:rPr>
          <w:rFonts w:ascii="Trebuchet MS" w:hAnsi="Trebuchet MS"/>
          <w:sz w:val="20"/>
          <w:szCs w:val="20"/>
        </w:rPr>
      </w:pPr>
    </w:p>
    <w:p w14:paraId="0E87FC19" w14:textId="18F94BA3" w:rsidR="007F45B9" w:rsidRPr="00701C66" w:rsidRDefault="00287A3D" w:rsidP="007F45B9">
      <w:pPr>
        <w:pStyle w:val="PlainText"/>
        <w:spacing w:line="276" w:lineRule="auto"/>
        <w:jc w:val="both"/>
        <w:rPr>
          <w:rFonts w:ascii="Trebuchet MS" w:hAnsi="Trebuchet MS"/>
          <w:sz w:val="20"/>
          <w:szCs w:val="20"/>
        </w:rPr>
      </w:pPr>
      <w:r w:rsidRPr="00701C66">
        <w:rPr>
          <w:rFonts w:ascii="Trebuchet MS" w:hAnsi="Trebuchet MS"/>
          <w:sz w:val="20"/>
          <w:szCs w:val="20"/>
        </w:rPr>
        <w:t>The</w:t>
      </w:r>
      <w:r w:rsidR="00664511" w:rsidRPr="00701C66">
        <w:rPr>
          <w:rFonts w:ascii="Trebuchet MS" w:hAnsi="Trebuchet MS"/>
          <w:sz w:val="20"/>
          <w:szCs w:val="20"/>
        </w:rPr>
        <w:t xml:space="preserve"> division </w:t>
      </w:r>
      <w:r w:rsidR="005406DB" w:rsidRPr="00701C66">
        <w:rPr>
          <w:rFonts w:ascii="Trebuchet MS" w:hAnsi="Trebuchet MS"/>
          <w:sz w:val="20"/>
          <w:szCs w:val="20"/>
        </w:rPr>
        <w:t xml:space="preserve">was active </w:t>
      </w:r>
      <w:r w:rsidRPr="00701C66">
        <w:rPr>
          <w:rFonts w:ascii="Trebuchet MS" w:hAnsi="Trebuchet MS"/>
          <w:sz w:val="20"/>
          <w:szCs w:val="20"/>
        </w:rPr>
        <w:t>with</w:t>
      </w:r>
      <w:r w:rsidR="007F45B9" w:rsidRPr="00701C66">
        <w:rPr>
          <w:rFonts w:ascii="Trebuchet MS" w:hAnsi="Trebuchet MS"/>
          <w:sz w:val="20"/>
          <w:szCs w:val="20"/>
        </w:rPr>
        <w:t xml:space="preserve"> third-party trading and development projects, selling out its first major residential development, Kent residential apartments in La Lucia, Umhlanga, and a small community</w:t>
      </w:r>
      <w:r w:rsidR="00FA28E0" w:rsidRPr="00701C66">
        <w:rPr>
          <w:rFonts w:ascii="Trebuchet MS" w:hAnsi="Trebuchet MS"/>
          <w:sz w:val="20"/>
          <w:szCs w:val="20"/>
        </w:rPr>
        <w:t xml:space="preserve"> shopping</w:t>
      </w:r>
      <w:r w:rsidR="007F45B9" w:rsidRPr="00701C66">
        <w:rPr>
          <w:rFonts w:ascii="Trebuchet MS" w:hAnsi="Trebuchet MS"/>
          <w:sz w:val="20"/>
          <w:szCs w:val="20"/>
        </w:rPr>
        <w:t xml:space="preserve"> centre in </w:t>
      </w:r>
      <w:r w:rsidR="000F4CD5">
        <w:rPr>
          <w:rFonts w:ascii="Trebuchet MS" w:hAnsi="Trebuchet MS"/>
          <w:sz w:val="20"/>
          <w:szCs w:val="20"/>
        </w:rPr>
        <w:t>KZN</w:t>
      </w:r>
      <w:r w:rsidR="007F45B9" w:rsidRPr="00701C66">
        <w:rPr>
          <w:rFonts w:ascii="Trebuchet MS" w:hAnsi="Trebuchet MS"/>
          <w:sz w:val="20"/>
          <w:szCs w:val="20"/>
        </w:rPr>
        <w:t>. Additionally, its Riverwoods office-to-residential conversion in Bedfordview, is 80% sold, with proceeds expected in FY25. It also delivered t</w:t>
      </w:r>
      <w:r w:rsidR="00FE14A8" w:rsidRPr="00701C66">
        <w:rPr>
          <w:rFonts w:ascii="Trebuchet MS" w:hAnsi="Trebuchet MS"/>
          <w:sz w:val="20"/>
          <w:szCs w:val="20"/>
        </w:rPr>
        <w:t>w</w:t>
      </w:r>
      <w:r w:rsidR="007F45B9" w:rsidRPr="00701C66">
        <w:rPr>
          <w:rFonts w:ascii="Trebuchet MS" w:hAnsi="Trebuchet MS"/>
          <w:sz w:val="20"/>
          <w:szCs w:val="20"/>
        </w:rPr>
        <w:t>o student accommodation properties, Horizon Heights and Fountains View</w:t>
      </w:r>
      <w:r w:rsidR="00930C5B">
        <w:rPr>
          <w:rFonts w:ascii="Trebuchet MS" w:hAnsi="Trebuchet MS"/>
          <w:sz w:val="20"/>
          <w:szCs w:val="20"/>
        </w:rPr>
        <w:t>,</w:t>
      </w:r>
      <w:r w:rsidR="007F45B9" w:rsidRPr="00701C66">
        <w:rPr>
          <w:rFonts w:ascii="Trebuchet MS" w:hAnsi="Trebuchet MS"/>
          <w:sz w:val="20"/>
          <w:szCs w:val="20"/>
        </w:rPr>
        <w:t xml:space="preserve"> for the 2024 academic year. The te</w:t>
      </w:r>
      <w:r w:rsidR="00814ECF" w:rsidRPr="00701C66">
        <w:rPr>
          <w:rFonts w:ascii="Trebuchet MS" w:hAnsi="Trebuchet MS"/>
          <w:sz w:val="20"/>
          <w:szCs w:val="20"/>
        </w:rPr>
        <w:t>am</w:t>
      </w:r>
      <w:r w:rsidR="007F45B9" w:rsidRPr="00701C66">
        <w:rPr>
          <w:rFonts w:ascii="Trebuchet MS" w:hAnsi="Trebuchet MS"/>
          <w:sz w:val="20"/>
          <w:szCs w:val="20"/>
        </w:rPr>
        <w:t xml:space="preserve"> is currently working on The Crescent Studios (previously The Podium) and Arteria</w:t>
      </w:r>
      <w:r w:rsidR="00FA28E0" w:rsidRPr="00701C66">
        <w:rPr>
          <w:rFonts w:ascii="Trebuchet MS" w:hAnsi="Trebuchet MS"/>
          <w:sz w:val="20"/>
          <w:szCs w:val="20"/>
        </w:rPr>
        <w:softHyphen/>
      </w:r>
      <w:r w:rsidR="00AE703E" w:rsidRPr="00701C66">
        <w:rPr>
          <w:rFonts w:ascii="Trebuchet MS" w:hAnsi="Trebuchet MS"/>
          <w:sz w:val="20"/>
          <w:szCs w:val="20"/>
        </w:rPr>
        <w:t xml:space="preserve"> </w:t>
      </w:r>
      <w:r w:rsidR="007F45B9" w:rsidRPr="00701C66">
        <w:rPr>
          <w:rFonts w:ascii="Trebuchet MS" w:hAnsi="Trebuchet MS"/>
          <w:sz w:val="20"/>
          <w:szCs w:val="20"/>
        </w:rPr>
        <w:t>Parktown (33 Princess of Wales).</w:t>
      </w:r>
    </w:p>
    <w:p w14:paraId="11DEFE7C" w14:textId="77777777" w:rsidR="007F45B9" w:rsidRPr="00701C66" w:rsidRDefault="007F45B9" w:rsidP="007F45B9">
      <w:pPr>
        <w:pStyle w:val="PlainText"/>
        <w:spacing w:line="276" w:lineRule="auto"/>
        <w:jc w:val="both"/>
        <w:rPr>
          <w:rFonts w:ascii="Trebuchet MS" w:hAnsi="Trebuchet MS"/>
          <w:sz w:val="20"/>
          <w:szCs w:val="20"/>
        </w:rPr>
      </w:pPr>
    </w:p>
    <w:p w14:paraId="32D5A5C0" w14:textId="1DFD6C22"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Growthpoint is committed to </w:t>
      </w:r>
      <w:r w:rsidRPr="00701C66">
        <w:rPr>
          <w:rFonts w:ascii="Trebuchet MS" w:hAnsi="Trebuchet MS"/>
          <w:b/>
          <w:bCs/>
          <w:sz w:val="20"/>
          <w:szCs w:val="20"/>
        </w:rPr>
        <w:t>excellent environmental, social, and governance (ESG) performance</w:t>
      </w:r>
      <w:r w:rsidRPr="00701C66">
        <w:rPr>
          <w:rFonts w:ascii="Trebuchet MS" w:hAnsi="Trebuchet MS"/>
          <w:sz w:val="20"/>
          <w:szCs w:val="20"/>
        </w:rPr>
        <w:t xml:space="preserve"> and has made significant strides toward its carbon-neutral 2050 target. As part of its strong environmental actions, Growthpoint has installed 40.7MW</w:t>
      </w:r>
      <w:r w:rsidR="00B163B1" w:rsidRPr="00701C66">
        <w:rPr>
          <w:rFonts w:ascii="Trebuchet MS" w:hAnsi="Trebuchet MS"/>
          <w:sz w:val="20"/>
          <w:szCs w:val="20"/>
        </w:rPr>
        <w:t>p</w:t>
      </w:r>
      <w:r w:rsidRPr="00701C66">
        <w:rPr>
          <w:rFonts w:ascii="Trebuchet MS" w:hAnsi="Trebuchet MS"/>
          <w:sz w:val="20"/>
          <w:szCs w:val="20"/>
        </w:rPr>
        <w:t xml:space="preserve"> of solar power and </w:t>
      </w:r>
      <w:r w:rsidR="0001467D" w:rsidRPr="00701C66">
        <w:rPr>
          <w:rFonts w:ascii="Trebuchet MS" w:hAnsi="Trebuchet MS"/>
          <w:sz w:val="20"/>
          <w:szCs w:val="20"/>
        </w:rPr>
        <w:t xml:space="preserve">has </w:t>
      </w:r>
      <w:r w:rsidRPr="00701C66">
        <w:rPr>
          <w:rFonts w:ascii="Trebuchet MS" w:hAnsi="Trebuchet MS"/>
          <w:sz w:val="20"/>
          <w:szCs w:val="20"/>
        </w:rPr>
        <w:t xml:space="preserve">123 green building certifications. Additionally, it </w:t>
      </w:r>
      <w:r w:rsidRPr="00701C66">
        <w:rPr>
          <w:rFonts w:ascii="Trebuchet MS" w:hAnsi="Trebuchet MS"/>
          <w:sz w:val="20"/>
          <w:szCs w:val="20"/>
        </w:rPr>
        <w:lastRenderedPageBreak/>
        <w:t>signed a milestone Power Purchase Agreement (PPA) for renewable energy, securing 195</w:t>
      </w:r>
      <w:r w:rsidR="00AB1235" w:rsidRPr="00701C66">
        <w:rPr>
          <w:rFonts w:ascii="Trebuchet MS" w:hAnsi="Trebuchet MS"/>
          <w:sz w:val="20"/>
          <w:szCs w:val="20"/>
        </w:rPr>
        <w:t>GWh</w:t>
      </w:r>
      <w:r w:rsidR="00AE703E" w:rsidRPr="00701C66">
        <w:rPr>
          <w:rFonts w:ascii="Trebuchet MS" w:hAnsi="Trebuchet MS"/>
          <w:sz w:val="20"/>
          <w:szCs w:val="20"/>
        </w:rPr>
        <w:t xml:space="preserve"> </w:t>
      </w:r>
      <w:r w:rsidRPr="00701C66">
        <w:rPr>
          <w:rFonts w:ascii="Trebuchet MS" w:hAnsi="Trebuchet MS"/>
          <w:sz w:val="20"/>
          <w:szCs w:val="20"/>
        </w:rPr>
        <w:t>of green power,</w:t>
      </w:r>
      <w:r w:rsidR="00AB1235" w:rsidRPr="00701C66">
        <w:rPr>
          <w:rFonts w:ascii="Trebuchet MS" w:hAnsi="Trebuchet MS"/>
          <w:sz w:val="20"/>
          <w:szCs w:val="20"/>
        </w:rPr>
        <w:t xml:space="preserve"> equating to</w:t>
      </w:r>
      <w:r w:rsidRPr="00701C66">
        <w:rPr>
          <w:rFonts w:ascii="Trebuchet MS" w:hAnsi="Trebuchet MS"/>
          <w:sz w:val="20"/>
          <w:szCs w:val="20"/>
        </w:rPr>
        <w:t xml:space="preserve"> 32% of its FY23 energy consumption. Its recently announced e-co</w:t>
      </w:r>
      <w:r w:rsidRPr="00F8313B">
        <w:rPr>
          <w:rFonts w:ascii="Trebuchet MS" w:hAnsi="Trebuchet MS"/>
          <w:sz w:val="20"/>
          <w:szCs w:val="20"/>
          <w:vertAlign w:val="subscript"/>
        </w:rPr>
        <w:t>2</w:t>
      </w:r>
      <w:r w:rsidRPr="00701C66">
        <w:rPr>
          <w:rFonts w:ascii="Trebuchet MS" w:hAnsi="Trebuchet MS"/>
          <w:sz w:val="20"/>
          <w:szCs w:val="20"/>
        </w:rPr>
        <w:t xml:space="preserve"> </w:t>
      </w:r>
      <w:r w:rsidR="00AB1235" w:rsidRPr="00701C66">
        <w:rPr>
          <w:rFonts w:ascii="Trebuchet MS" w:hAnsi="Trebuchet MS"/>
          <w:sz w:val="20"/>
          <w:szCs w:val="20"/>
        </w:rPr>
        <w:t xml:space="preserve">solution </w:t>
      </w:r>
      <w:r w:rsidRPr="00701C66">
        <w:rPr>
          <w:rFonts w:ascii="Trebuchet MS" w:hAnsi="Trebuchet MS"/>
          <w:sz w:val="20"/>
          <w:szCs w:val="20"/>
        </w:rPr>
        <w:t>provides tenants with renewable electricity at fixed escalations. Further, reducing water and waste intensity is a priority for FY25.</w:t>
      </w:r>
    </w:p>
    <w:p w14:paraId="49449443" w14:textId="77777777" w:rsidR="007F45B9" w:rsidRPr="00701C66" w:rsidRDefault="007F45B9" w:rsidP="007F45B9">
      <w:pPr>
        <w:pStyle w:val="PlainText"/>
        <w:spacing w:line="276" w:lineRule="auto"/>
        <w:jc w:val="both"/>
        <w:rPr>
          <w:rFonts w:ascii="Trebuchet MS" w:hAnsi="Trebuchet MS"/>
          <w:sz w:val="20"/>
          <w:szCs w:val="20"/>
        </w:rPr>
      </w:pPr>
    </w:p>
    <w:p w14:paraId="66F89C30" w14:textId="1E2A08F4"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Growthpoint retains its Level 1 BEE status and continues to invest in successful corporate social initiatives, most notably the Property Point enterprise development programme. Due to its positive impact, this project has been widely adopted across the sector and become an industry-wide initiative.</w:t>
      </w:r>
    </w:p>
    <w:p w14:paraId="6A8CD313" w14:textId="77777777" w:rsidR="007F45B9" w:rsidRPr="00701C66" w:rsidRDefault="007F45B9" w:rsidP="007F45B9">
      <w:pPr>
        <w:pStyle w:val="PlainText"/>
        <w:spacing w:line="276" w:lineRule="auto"/>
        <w:jc w:val="both"/>
        <w:rPr>
          <w:rFonts w:ascii="Trebuchet MS" w:hAnsi="Trebuchet MS"/>
          <w:sz w:val="20"/>
          <w:szCs w:val="20"/>
        </w:rPr>
      </w:pPr>
    </w:p>
    <w:p w14:paraId="378A607C" w14:textId="3E576142"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“The stable and improving metrics from our SA business are encouraging, and we will continue improving the quality of this portfolio, including its sustainability</w:t>
      </w:r>
      <w:r w:rsidR="00930C5B">
        <w:rPr>
          <w:rFonts w:ascii="Trebuchet MS" w:hAnsi="Trebuchet MS"/>
          <w:i/>
          <w:iCs/>
          <w:sz w:val="20"/>
          <w:szCs w:val="20"/>
        </w:rPr>
        <w:t>,</w:t>
      </w:r>
      <w:r w:rsidRPr="00701C66">
        <w:rPr>
          <w:rFonts w:ascii="Trebuchet MS" w:hAnsi="Trebuchet MS"/>
          <w:i/>
          <w:iCs/>
          <w:sz w:val="20"/>
          <w:szCs w:val="20"/>
        </w:rPr>
        <w:t xml:space="preserve"> by championing renewable energy and similar solutions that support environmental and social stewardship,”</w:t>
      </w:r>
      <w:r w:rsidRPr="00701C66">
        <w:rPr>
          <w:rFonts w:ascii="Trebuchet MS" w:hAnsi="Trebuchet MS"/>
          <w:sz w:val="20"/>
          <w:szCs w:val="20"/>
        </w:rPr>
        <w:t xml:space="preserve"> says Sasse. </w:t>
      </w:r>
    </w:p>
    <w:p w14:paraId="52A4540E" w14:textId="77777777" w:rsidR="007F45B9" w:rsidRPr="00701C66" w:rsidRDefault="007F45B9" w:rsidP="007F45B9">
      <w:pPr>
        <w:pStyle w:val="PlainText"/>
        <w:spacing w:line="276" w:lineRule="auto"/>
        <w:jc w:val="both"/>
        <w:rPr>
          <w:rFonts w:ascii="Trebuchet MS" w:hAnsi="Trebuchet MS"/>
          <w:sz w:val="20"/>
          <w:szCs w:val="20"/>
        </w:rPr>
      </w:pPr>
    </w:p>
    <w:p w14:paraId="05398338" w14:textId="51F0002A" w:rsidR="007F45B9" w:rsidRPr="00701C66" w:rsidRDefault="007F45B9" w:rsidP="00251318">
      <w:pPr>
        <w:jc w:val="both"/>
        <w:rPr>
          <w:rFonts w:ascii="Trebuchet MS" w:hAnsi="Trebuchet MS"/>
          <w:sz w:val="20"/>
          <w:szCs w:val="20"/>
        </w:rPr>
      </w:pPr>
      <w:r w:rsidRPr="00701C66">
        <w:rPr>
          <w:rFonts w:ascii="Trebuchet MS" w:hAnsi="Trebuchet MS"/>
          <w:sz w:val="20"/>
          <w:szCs w:val="20"/>
        </w:rPr>
        <w:t xml:space="preserve">The iconic </w:t>
      </w:r>
      <w:r w:rsidRPr="00701C66">
        <w:rPr>
          <w:rFonts w:ascii="Trebuchet MS" w:hAnsi="Trebuchet MS"/>
          <w:b/>
          <w:bCs/>
          <w:sz w:val="20"/>
          <w:szCs w:val="20"/>
        </w:rPr>
        <w:t>V&amp;A Waterfront</w:t>
      </w:r>
      <w:r w:rsidRPr="00701C66">
        <w:rPr>
          <w:rFonts w:ascii="Trebuchet MS" w:hAnsi="Trebuchet MS"/>
          <w:sz w:val="20"/>
          <w:szCs w:val="20"/>
        </w:rPr>
        <w:t xml:space="preserve">, Cape Town, in which Growthpoint has a 50% interest with its share of property assets valued at R11.5bn, delivered stellar results, with exceptional performances from its retail, hospitality and attraction sectors, driven by tourism. </w:t>
      </w:r>
      <w:r w:rsidR="00251318" w:rsidRPr="00701C66">
        <w:rPr>
          <w:rFonts w:ascii="Trebuchet MS" w:eastAsia="Times New Roman" w:hAnsi="Trebuchet MS" w:cs="Times New Roman"/>
          <w:kern w:val="0"/>
          <w:sz w:val="20"/>
          <w:szCs w:val="20"/>
          <w:lang w:eastAsia="en-GB"/>
          <w14:ligatures w14:val="none"/>
        </w:rPr>
        <w:t xml:space="preserve">This strong position was bolstered by the completion of new developments, negligible vacancies at just 0.3% across the precinct, and strong demand supporting rental levels. </w:t>
      </w:r>
      <w:r w:rsidRPr="00701C66">
        <w:rPr>
          <w:rFonts w:ascii="Trebuchet MS" w:hAnsi="Trebuchet MS"/>
          <w:sz w:val="20"/>
          <w:szCs w:val="20"/>
        </w:rPr>
        <w:t xml:space="preserve">The </w:t>
      </w:r>
      <w:r w:rsidR="00301AD8" w:rsidRPr="00701C66">
        <w:rPr>
          <w:rFonts w:ascii="Trebuchet MS" w:hAnsi="Trebuchet MS"/>
          <w:sz w:val="20"/>
          <w:szCs w:val="20"/>
        </w:rPr>
        <w:t xml:space="preserve">new </w:t>
      </w:r>
      <w:r w:rsidRPr="00701C66">
        <w:rPr>
          <w:rFonts w:ascii="Trebuchet MS" w:hAnsi="Trebuchet MS"/>
          <w:sz w:val="20"/>
          <w:szCs w:val="20"/>
        </w:rPr>
        <w:t xml:space="preserve">Union Castle building is fully let, anchored by Marble restaurant and a flagship Nike store, and will open in time for the festive season. </w:t>
      </w:r>
    </w:p>
    <w:p w14:paraId="0A6B9E90" w14:textId="77777777" w:rsidR="007F45B9" w:rsidRPr="00701C66" w:rsidRDefault="007F45B9" w:rsidP="007F45B9">
      <w:pPr>
        <w:pStyle w:val="PlainText"/>
        <w:spacing w:line="276" w:lineRule="auto"/>
        <w:jc w:val="both"/>
        <w:rPr>
          <w:rFonts w:ascii="Trebuchet MS" w:hAnsi="Trebuchet MS"/>
          <w:sz w:val="20"/>
          <w:szCs w:val="20"/>
        </w:rPr>
      </w:pPr>
    </w:p>
    <w:p w14:paraId="5DAEBC06" w14:textId="5851B5C8"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sz w:val="20"/>
          <w:szCs w:val="20"/>
        </w:rPr>
        <w:t xml:space="preserve">The V&amp;A’s like-for-like </w:t>
      </w:r>
      <w:r w:rsidR="00930C5B">
        <w:rPr>
          <w:rFonts w:ascii="Trebuchet MS" w:hAnsi="Trebuchet MS"/>
          <w:sz w:val="20"/>
          <w:szCs w:val="20"/>
        </w:rPr>
        <w:t>NPI</w:t>
      </w:r>
      <w:r w:rsidRPr="00701C66">
        <w:rPr>
          <w:rFonts w:ascii="Trebuchet MS" w:hAnsi="Trebuchet MS"/>
          <w:sz w:val="20"/>
          <w:szCs w:val="20"/>
        </w:rPr>
        <w:t xml:space="preserve">, which includes a </w:t>
      </w:r>
      <w:r w:rsidR="00D544BD" w:rsidRPr="00701C66">
        <w:rPr>
          <w:rFonts w:ascii="Trebuchet MS" w:hAnsi="Trebuchet MS"/>
          <w:sz w:val="20"/>
          <w:szCs w:val="20"/>
        </w:rPr>
        <w:t xml:space="preserve">growing </w:t>
      </w:r>
      <w:r w:rsidRPr="00701C66">
        <w:rPr>
          <w:rFonts w:ascii="Trebuchet MS" w:hAnsi="Trebuchet MS"/>
          <w:sz w:val="20"/>
          <w:szCs w:val="20"/>
        </w:rPr>
        <w:t xml:space="preserve">portion of operating income, </w:t>
      </w:r>
      <w:r w:rsidR="00930C5B">
        <w:rPr>
          <w:rFonts w:ascii="Trebuchet MS" w:hAnsi="Trebuchet MS"/>
          <w:sz w:val="20"/>
          <w:szCs w:val="20"/>
        </w:rPr>
        <w:t>increased</w:t>
      </w:r>
      <w:r w:rsidR="00930C5B" w:rsidRPr="00701C66">
        <w:rPr>
          <w:rFonts w:ascii="Trebuchet MS" w:hAnsi="Trebuchet MS"/>
          <w:sz w:val="20"/>
          <w:szCs w:val="20"/>
        </w:rPr>
        <w:t xml:space="preserve"> </w:t>
      </w:r>
      <w:r w:rsidR="00930C5B">
        <w:rPr>
          <w:rFonts w:ascii="Trebuchet MS" w:hAnsi="Trebuchet MS"/>
          <w:sz w:val="20"/>
          <w:szCs w:val="20"/>
        </w:rPr>
        <w:t>by</w:t>
      </w:r>
      <w:r w:rsidRPr="00701C66">
        <w:rPr>
          <w:rFonts w:ascii="Trebuchet MS" w:hAnsi="Trebuchet MS"/>
          <w:sz w:val="20"/>
          <w:szCs w:val="20"/>
        </w:rPr>
        <w:t xml:space="preserve"> 13.4%. </w:t>
      </w:r>
      <w:r w:rsidRPr="00701C66">
        <w:rPr>
          <w:rFonts w:ascii="Trebuchet MS" w:hAnsi="Trebuchet MS"/>
          <w:i/>
          <w:iCs/>
          <w:sz w:val="20"/>
          <w:szCs w:val="20"/>
        </w:rPr>
        <w:t>“The V&amp;A expects mid-single digit growth next year as it undertakes major upgrades. The extensive refurbishment of Table Bay Hotel will begin in February 2025, and it will relaunch as the InterContinental Table Bay Cape Town later in the year. The conversion and extension of an existing wing of the mall for international</w:t>
      </w:r>
      <w:r w:rsidR="00E027C2" w:rsidRPr="00701C66">
        <w:rPr>
          <w:rFonts w:ascii="Trebuchet MS" w:hAnsi="Trebuchet MS"/>
          <w:i/>
          <w:iCs/>
          <w:sz w:val="20"/>
          <w:szCs w:val="20"/>
        </w:rPr>
        <w:t xml:space="preserve"> luxury</w:t>
      </w:r>
      <w:r w:rsidRPr="00701C66">
        <w:rPr>
          <w:rFonts w:ascii="Trebuchet MS" w:hAnsi="Trebuchet MS"/>
          <w:i/>
          <w:iCs/>
          <w:sz w:val="20"/>
          <w:szCs w:val="20"/>
        </w:rPr>
        <w:t xml:space="preserve"> brands </w:t>
      </w:r>
      <w:r w:rsidR="00E027C2" w:rsidRPr="00701C66">
        <w:rPr>
          <w:rFonts w:ascii="Trebuchet MS" w:hAnsi="Trebuchet MS"/>
          <w:i/>
          <w:iCs/>
          <w:sz w:val="20"/>
          <w:szCs w:val="20"/>
        </w:rPr>
        <w:t xml:space="preserve">is </w:t>
      </w:r>
      <w:r w:rsidRPr="00701C66">
        <w:rPr>
          <w:rFonts w:ascii="Trebuchet MS" w:hAnsi="Trebuchet MS"/>
          <w:i/>
          <w:iCs/>
          <w:sz w:val="20"/>
          <w:szCs w:val="20"/>
        </w:rPr>
        <w:t xml:space="preserve">set to open in November 2025 has commenced, so normal trading in this area </w:t>
      </w:r>
      <w:r w:rsidR="001C6C70" w:rsidRPr="00701C66">
        <w:rPr>
          <w:rFonts w:ascii="Trebuchet MS" w:hAnsi="Trebuchet MS"/>
          <w:i/>
          <w:iCs/>
          <w:sz w:val="20"/>
          <w:szCs w:val="20"/>
        </w:rPr>
        <w:t>has</w:t>
      </w:r>
      <w:r w:rsidRPr="00701C66">
        <w:rPr>
          <w:rFonts w:ascii="Trebuchet MS" w:hAnsi="Trebuchet MS"/>
          <w:i/>
          <w:iCs/>
          <w:sz w:val="20"/>
          <w:szCs w:val="20"/>
        </w:rPr>
        <w:t xml:space="preserve"> paused</w:t>
      </w:r>
      <w:r w:rsidR="001C6C70" w:rsidRPr="00701C66">
        <w:rPr>
          <w:rFonts w:ascii="Trebuchet MS" w:hAnsi="Trebuchet MS"/>
          <w:i/>
          <w:iCs/>
          <w:sz w:val="20"/>
          <w:szCs w:val="20"/>
        </w:rPr>
        <w:t xml:space="preserve"> for the project</w:t>
      </w:r>
      <w:r w:rsidRPr="00701C66">
        <w:rPr>
          <w:rFonts w:ascii="Trebuchet MS" w:hAnsi="Trebuchet MS"/>
          <w:i/>
          <w:iCs/>
          <w:sz w:val="20"/>
          <w:szCs w:val="20"/>
        </w:rPr>
        <w:t xml:space="preserve">,” </w:t>
      </w:r>
      <w:r w:rsidRPr="00701C66">
        <w:rPr>
          <w:rFonts w:ascii="Trebuchet MS" w:hAnsi="Trebuchet MS"/>
          <w:sz w:val="20"/>
          <w:szCs w:val="20"/>
        </w:rPr>
        <w:t xml:space="preserve">says Sasse. </w:t>
      </w:r>
    </w:p>
    <w:p w14:paraId="1370177C" w14:textId="77777777" w:rsidR="007F45B9" w:rsidRPr="00701C66" w:rsidRDefault="007F45B9" w:rsidP="007F45B9">
      <w:pPr>
        <w:pStyle w:val="PlainText"/>
        <w:spacing w:line="276" w:lineRule="auto"/>
        <w:jc w:val="both"/>
        <w:rPr>
          <w:rFonts w:ascii="Trebuchet MS" w:hAnsi="Trebuchet MS"/>
          <w:sz w:val="20"/>
          <w:szCs w:val="20"/>
        </w:rPr>
      </w:pPr>
    </w:p>
    <w:p w14:paraId="4E41B9B3" w14:textId="1304AFD9"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b/>
          <w:bCs/>
          <w:sz w:val="20"/>
          <w:szCs w:val="20"/>
        </w:rPr>
        <w:t>Growthpoint Investment Partners</w:t>
      </w:r>
      <w:r w:rsidRPr="00701C66">
        <w:rPr>
          <w:rFonts w:ascii="Trebuchet MS" w:hAnsi="Trebuchet MS"/>
          <w:sz w:val="20"/>
          <w:szCs w:val="20"/>
        </w:rPr>
        <w:t xml:space="preserve"> continued to grow its assets under management</w:t>
      </w:r>
      <w:r w:rsidR="00FF354C" w:rsidRPr="00701C66">
        <w:rPr>
          <w:rFonts w:ascii="Trebuchet MS" w:hAnsi="Trebuchet MS"/>
          <w:sz w:val="20"/>
          <w:szCs w:val="20"/>
        </w:rPr>
        <w:t xml:space="preserve"> (AUM)</w:t>
      </w:r>
      <w:r w:rsidRPr="00701C66">
        <w:rPr>
          <w:rFonts w:ascii="Trebuchet MS" w:hAnsi="Trebuchet MS"/>
          <w:sz w:val="20"/>
          <w:szCs w:val="20"/>
        </w:rPr>
        <w:t xml:space="preserve"> and fees. It ended the year with R18.0bn of AUM, growing towards its goal of R30bn </w:t>
      </w:r>
      <w:r w:rsidR="00930C5B">
        <w:rPr>
          <w:rFonts w:ascii="Trebuchet MS" w:hAnsi="Trebuchet MS"/>
          <w:sz w:val="20"/>
          <w:szCs w:val="20"/>
        </w:rPr>
        <w:t xml:space="preserve">of </w:t>
      </w:r>
      <w:r w:rsidRPr="00701C66">
        <w:rPr>
          <w:rFonts w:ascii="Trebuchet MS" w:hAnsi="Trebuchet MS"/>
          <w:sz w:val="20"/>
          <w:szCs w:val="20"/>
        </w:rPr>
        <w:t xml:space="preserve">AUM by the end of FY27. Growthpoint’s capital-efficient alternative real estate co-investment platform includes three funds that are distinct from Growthpoint’s retail, office and </w:t>
      </w:r>
      <w:r w:rsidR="001E4EFF">
        <w:rPr>
          <w:rFonts w:ascii="Trebuchet MS" w:hAnsi="Trebuchet MS"/>
          <w:sz w:val="20"/>
          <w:szCs w:val="20"/>
        </w:rPr>
        <w:t xml:space="preserve">logistics and </w:t>
      </w:r>
      <w:r w:rsidRPr="00701C66">
        <w:rPr>
          <w:rFonts w:ascii="Trebuchet MS" w:hAnsi="Trebuchet MS"/>
          <w:sz w:val="20"/>
          <w:szCs w:val="20"/>
        </w:rPr>
        <w:t>industrial core assets. They are Growthpoint Healthcare Property Holdings, Growthpoint Student Accommodation Holdings</w:t>
      </w:r>
      <w:r w:rsidR="00930C5B">
        <w:rPr>
          <w:rFonts w:ascii="Trebuchet MS" w:hAnsi="Trebuchet MS"/>
          <w:sz w:val="20"/>
          <w:szCs w:val="20"/>
        </w:rPr>
        <w:t xml:space="preserve">, </w:t>
      </w:r>
      <w:r w:rsidRPr="00701C66">
        <w:rPr>
          <w:rFonts w:ascii="Trebuchet MS" w:hAnsi="Trebuchet MS"/>
          <w:sz w:val="20"/>
          <w:szCs w:val="20"/>
        </w:rPr>
        <w:t xml:space="preserve">which operates under the Thrive Student Living brand, and Lango Real Estate </w:t>
      </w:r>
      <w:r w:rsidR="00930C5B">
        <w:rPr>
          <w:rFonts w:ascii="Trebuchet MS" w:hAnsi="Trebuchet MS"/>
          <w:sz w:val="20"/>
          <w:szCs w:val="20"/>
        </w:rPr>
        <w:t>with</w:t>
      </w:r>
      <w:r w:rsidRPr="00701C66">
        <w:rPr>
          <w:rFonts w:ascii="Trebuchet MS" w:hAnsi="Trebuchet MS"/>
          <w:sz w:val="20"/>
          <w:szCs w:val="20"/>
        </w:rPr>
        <w:t xml:space="preserve"> prime office and retail assets in Ghana, Nigeria and Zambia, and land in Angola</w:t>
      </w:r>
      <w:r w:rsidR="00FF354C" w:rsidRPr="00701C66">
        <w:rPr>
          <w:rFonts w:ascii="Trebuchet MS" w:hAnsi="Trebuchet MS"/>
          <w:sz w:val="20"/>
          <w:szCs w:val="20"/>
        </w:rPr>
        <w:t xml:space="preserve"> and Nigeria</w:t>
      </w:r>
      <w:r w:rsidRPr="00701C66">
        <w:rPr>
          <w:rFonts w:ascii="Trebuchet MS" w:hAnsi="Trebuchet MS"/>
          <w:sz w:val="20"/>
          <w:szCs w:val="20"/>
        </w:rPr>
        <w:t xml:space="preserve">. </w:t>
      </w:r>
    </w:p>
    <w:p w14:paraId="4A7DF712" w14:textId="77777777" w:rsidR="007F45B9" w:rsidRPr="00701C66" w:rsidRDefault="007F45B9" w:rsidP="007F45B9">
      <w:pPr>
        <w:pStyle w:val="PlainText"/>
        <w:spacing w:line="276" w:lineRule="auto"/>
        <w:jc w:val="both"/>
        <w:rPr>
          <w:rFonts w:ascii="Trebuchet MS" w:hAnsi="Trebuchet MS"/>
          <w:sz w:val="20"/>
          <w:szCs w:val="20"/>
        </w:rPr>
      </w:pPr>
    </w:p>
    <w:p w14:paraId="5D7C4EB8" w14:textId="29E28573" w:rsidR="007F45B9" w:rsidRPr="00701C66" w:rsidRDefault="007F45B9" w:rsidP="007F45B9">
      <w:pPr>
        <w:pStyle w:val="PlainText"/>
        <w:spacing w:line="276" w:lineRule="auto"/>
        <w:jc w:val="both"/>
        <w:rPr>
          <w:rFonts w:ascii="Trebuchet MS" w:hAnsi="Trebuchet MS"/>
          <w:sz w:val="20"/>
          <w:szCs w:val="20"/>
        </w:rPr>
      </w:pPr>
      <w:r w:rsidRPr="00701C66">
        <w:rPr>
          <w:rFonts w:ascii="Trebuchet MS" w:hAnsi="Trebuchet MS"/>
          <w:i/>
          <w:iCs/>
          <w:sz w:val="20"/>
          <w:szCs w:val="20"/>
        </w:rPr>
        <w:t>“Overall, G</w:t>
      </w:r>
      <w:r w:rsidR="00597668" w:rsidRPr="00701C66">
        <w:rPr>
          <w:rFonts w:ascii="Trebuchet MS" w:hAnsi="Trebuchet MS"/>
          <w:i/>
          <w:iCs/>
          <w:sz w:val="20"/>
          <w:szCs w:val="20"/>
        </w:rPr>
        <w:t>rowthpoint Investment Partners</w:t>
      </w:r>
      <w:r w:rsidR="00D17DB7" w:rsidRPr="00701C66">
        <w:rPr>
          <w:rFonts w:ascii="Trebuchet MS" w:hAnsi="Trebuchet MS"/>
          <w:i/>
          <w:iCs/>
          <w:sz w:val="20"/>
          <w:szCs w:val="20"/>
        </w:rPr>
        <w:t xml:space="preserve"> </w:t>
      </w:r>
      <w:r w:rsidRPr="00701C66">
        <w:rPr>
          <w:rFonts w:ascii="Trebuchet MS" w:hAnsi="Trebuchet MS"/>
          <w:i/>
          <w:iCs/>
          <w:sz w:val="20"/>
          <w:szCs w:val="20"/>
        </w:rPr>
        <w:t xml:space="preserve">made a steady contribution to </w:t>
      </w:r>
      <w:r w:rsidR="00930C5B">
        <w:rPr>
          <w:rFonts w:ascii="Trebuchet MS" w:hAnsi="Trebuchet MS"/>
          <w:i/>
          <w:iCs/>
          <w:sz w:val="20"/>
          <w:szCs w:val="20"/>
        </w:rPr>
        <w:t>our</w:t>
      </w:r>
      <w:r w:rsidR="00930C5B" w:rsidRPr="00701C66">
        <w:rPr>
          <w:rFonts w:ascii="Trebuchet MS" w:hAnsi="Trebuchet MS"/>
          <w:i/>
          <w:iCs/>
          <w:sz w:val="20"/>
          <w:szCs w:val="20"/>
        </w:rPr>
        <w:t xml:space="preserve"> </w:t>
      </w:r>
      <w:r w:rsidRPr="00701C66">
        <w:rPr>
          <w:rFonts w:ascii="Trebuchet MS" w:hAnsi="Trebuchet MS"/>
          <w:i/>
          <w:iCs/>
          <w:sz w:val="20"/>
          <w:szCs w:val="20"/>
        </w:rPr>
        <w:t>earnings</w:t>
      </w:r>
      <w:r w:rsidR="007C23A4" w:rsidRPr="00701C66">
        <w:rPr>
          <w:rFonts w:ascii="Trebuchet MS" w:hAnsi="Trebuchet MS"/>
          <w:i/>
          <w:iCs/>
          <w:sz w:val="20"/>
          <w:szCs w:val="20"/>
        </w:rPr>
        <w:t xml:space="preserve"> with</w:t>
      </w:r>
      <w:r w:rsidRPr="00701C66">
        <w:rPr>
          <w:rFonts w:ascii="Trebuchet MS" w:hAnsi="Trebuchet MS"/>
          <w:i/>
          <w:iCs/>
          <w:sz w:val="20"/>
          <w:szCs w:val="20"/>
        </w:rPr>
        <w:t xml:space="preserve"> mixed results for the dividends and management fees earned across its three funds. </w:t>
      </w:r>
      <w:r w:rsidR="00F8313B">
        <w:rPr>
          <w:rFonts w:ascii="Trebuchet MS" w:hAnsi="Trebuchet MS"/>
          <w:i/>
          <w:iCs/>
          <w:sz w:val="20"/>
          <w:szCs w:val="20"/>
        </w:rPr>
        <w:t>M</w:t>
      </w:r>
      <w:r w:rsidR="00F8313B" w:rsidRPr="00701C66">
        <w:rPr>
          <w:rFonts w:ascii="Trebuchet MS" w:hAnsi="Trebuchet MS"/>
          <w:i/>
          <w:iCs/>
          <w:sz w:val="20"/>
          <w:szCs w:val="20"/>
        </w:rPr>
        <w:t>anagement</w:t>
      </w:r>
      <w:r w:rsidRPr="00701C66">
        <w:rPr>
          <w:rFonts w:ascii="Trebuchet MS" w:hAnsi="Trebuchet MS"/>
          <w:i/>
          <w:iCs/>
          <w:sz w:val="20"/>
          <w:szCs w:val="20"/>
        </w:rPr>
        <w:t xml:space="preserve"> fees increased </w:t>
      </w:r>
      <w:r w:rsidR="00295759">
        <w:rPr>
          <w:rFonts w:ascii="Trebuchet MS" w:hAnsi="Trebuchet MS"/>
          <w:i/>
          <w:iCs/>
          <w:sz w:val="20"/>
          <w:szCs w:val="20"/>
        </w:rPr>
        <w:t xml:space="preserve">by 10.2%, while dividends dropped by </w:t>
      </w:r>
      <w:r w:rsidR="00040ED6" w:rsidRPr="00701C66">
        <w:rPr>
          <w:rFonts w:ascii="Trebuchet MS" w:hAnsi="Trebuchet MS"/>
          <w:i/>
          <w:iCs/>
          <w:sz w:val="20"/>
          <w:szCs w:val="20"/>
        </w:rPr>
        <w:t>16.0</w:t>
      </w:r>
      <w:r w:rsidRPr="00701C66">
        <w:rPr>
          <w:rFonts w:ascii="Trebuchet MS" w:hAnsi="Trebuchet MS"/>
          <w:i/>
          <w:iCs/>
          <w:sz w:val="20"/>
          <w:szCs w:val="20"/>
        </w:rPr>
        <w:t xml:space="preserve">%. </w:t>
      </w:r>
      <w:r w:rsidR="00A45BF5" w:rsidRPr="00701C66">
        <w:rPr>
          <w:rFonts w:ascii="Trebuchet MS" w:hAnsi="Trebuchet MS"/>
          <w:i/>
          <w:iCs/>
          <w:sz w:val="20"/>
          <w:szCs w:val="20"/>
        </w:rPr>
        <w:t>G</w:t>
      </w:r>
      <w:r w:rsidR="00AB7A29">
        <w:rPr>
          <w:rFonts w:ascii="Trebuchet MS" w:hAnsi="Trebuchet MS"/>
          <w:i/>
          <w:iCs/>
          <w:sz w:val="20"/>
          <w:szCs w:val="20"/>
        </w:rPr>
        <w:t>rowthpoint Investment Partners</w:t>
      </w:r>
      <w:r w:rsidRPr="00701C66">
        <w:rPr>
          <w:rFonts w:ascii="Trebuchet MS" w:hAnsi="Trebuchet MS"/>
          <w:i/>
          <w:iCs/>
          <w:sz w:val="20"/>
          <w:szCs w:val="20"/>
        </w:rPr>
        <w:t xml:space="preserve"> is actively raising capital in the funds, </w:t>
      </w:r>
      <w:r w:rsidR="00872774">
        <w:rPr>
          <w:rFonts w:ascii="Trebuchet MS" w:hAnsi="Trebuchet MS"/>
          <w:i/>
          <w:iCs/>
          <w:sz w:val="20"/>
          <w:szCs w:val="20"/>
        </w:rPr>
        <w:t>which are</w:t>
      </w:r>
      <w:r w:rsidRPr="00701C66">
        <w:rPr>
          <w:rFonts w:ascii="Trebuchet MS" w:hAnsi="Trebuchet MS"/>
          <w:i/>
          <w:iCs/>
          <w:sz w:val="20"/>
          <w:szCs w:val="20"/>
        </w:rPr>
        <w:t xml:space="preserve"> increasingly </w:t>
      </w:r>
      <w:r w:rsidR="00872774">
        <w:rPr>
          <w:rFonts w:ascii="Trebuchet MS" w:hAnsi="Trebuchet MS"/>
          <w:i/>
          <w:iCs/>
          <w:sz w:val="20"/>
          <w:szCs w:val="20"/>
        </w:rPr>
        <w:t xml:space="preserve">enjoying </w:t>
      </w:r>
      <w:r w:rsidRPr="00701C66">
        <w:rPr>
          <w:rFonts w:ascii="Trebuchet MS" w:hAnsi="Trebuchet MS"/>
          <w:i/>
          <w:iCs/>
          <w:sz w:val="20"/>
          <w:szCs w:val="20"/>
        </w:rPr>
        <w:t>opportunities for growth through both development and acquisition,”</w:t>
      </w:r>
      <w:r w:rsidRPr="00701C66">
        <w:rPr>
          <w:rFonts w:ascii="Trebuchet MS" w:hAnsi="Trebuchet MS"/>
          <w:sz w:val="20"/>
          <w:szCs w:val="20"/>
        </w:rPr>
        <w:t xml:space="preserve"> says Sasse. </w:t>
      </w:r>
    </w:p>
    <w:p w14:paraId="65881C5D" w14:textId="1FF1BF45" w:rsidR="007F45B9" w:rsidRPr="00701C66" w:rsidRDefault="007F45B9" w:rsidP="002B1E77">
      <w:pPr>
        <w:pStyle w:val="PlainText"/>
        <w:tabs>
          <w:tab w:val="left" w:pos="8210"/>
        </w:tabs>
        <w:spacing w:line="276" w:lineRule="auto"/>
        <w:jc w:val="both"/>
        <w:rPr>
          <w:rFonts w:ascii="Trebuchet MS" w:hAnsi="Trebuchet MS"/>
          <w:sz w:val="20"/>
          <w:szCs w:val="20"/>
        </w:rPr>
      </w:pPr>
    </w:p>
    <w:p w14:paraId="31B50E0D" w14:textId="2F805F43" w:rsidR="007F45B9" w:rsidRPr="00701C66" w:rsidRDefault="007F45B9" w:rsidP="007F45B9">
      <w:pPr>
        <w:pStyle w:val="PlainText"/>
        <w:spacing w:line="276" w:lineRule="auto"/>
        <w:jc w:val="both"/>
        <w:rPr>
          <w:rFonts w:ascii="Trebuchet MS" w:hAnsi="Trebuchet MS"/>
          <w:sz w:val="20"/>
          <w:szCs w:val="20"/>
        </w:rPr>
      </w:pPr>
      <w:r w:rsidRPr="008511C9">
        <w:rPr>
          <w:rFonts w:ascii="Trebuchet MS" w:hAnsi="Trebuchet MS"/>
          <w:i/>
          <w:iCs/>
          <w:sz w:val="20"/>
          <w:szCs w:val="20"/>
        </w:rPr>
        <w:t>“We have made gains in every area of opportunity available to us</w:t>
      </w:r>
      <w:r w:rsidR="00995BEF" w:rsidRPr="008511C9">
        <w:rPr>
          <w:rFonts w:ascii="Trebuchet MS" w:hAnsi="Trebuchet MS"/>
          <w:i/>
          <w:iCs/>
          <w:sz w:val="20"/>
          <w:szCs w:val="20"/>
        </w:rPr>
        <w:t xml:space="preserve"> this year</w:t>
      </w:r>
      <w:r w:rsidRPr="008511C9">
        <w:rPr>
          <w:rFonts w:ascii="Trebuchet MS" w:hAnsi="Trebuchet MS"/>
          <w:i/>
          <w:iCs/>
          <w:sz w:val="20"/>
          <w:szCs w:val="20"/>
        </w:rPr>
        <w:t>. Growthpoint is a strong, diversified business with talented employees, a solid financial foundation, and a clear strategy for delivering value to all stakeholders</w:t>
      </w:r>
      <w:r w:rsidR="00F60405" w:rsidRPr="008511C9">
        <w:rPr>
          <w:rFonts w:ascii="Trebuchet MS" w:hAnsi="Trebuchet MS"/>
          <w:i/>
          <w:iCs/>
          <w:sz w:val="20"/>
          <w:szCs w:val="20"/>
        </w:rPr>
        <w:t>. We have much to look forward to,”</w:t>
      </w:r>
      <w:r w:rsidRPr="008511C9">
        <w:rPr>
          <w:rFonts w:ascii="Trebuchet MS" w:hAnsi="Trebuchet MS"/>
          <w:sz w:val="20"/>
          <w:szCs w:val="20"/>
        </w:rPr>
        <w:t xml:space="preserve"> says Sasse.</w:t>
      </w:r>
    </w:p>
    <w:p w14:paraId="09E8E2A4" w14:textId="77777777" w:rsidR="007F45B9" w:rsidRPr="00701C66" w:rsidRDefault="007F45B9" w:rsidP="007F45B9">
      <w:pPr>
        <w:pStyle w:val="PlainText"/>
        <w:spacing w:line="276" w:lineRule="auto"/>
        <w:jc w:val="both"/>
        <w:rPr>
          <w:rFonts w:ascii="Trebuchet MS" w:hAnsi="Trebuchet MS"/>
          <w:sz w:val="20"/>
          <w:szCs w:val="20"/>
        </w:rPr>
      </w:pPr>
    </w:p>
    <w:p w14:paraId="37D29D24" w14:textId="2C773F42" w:rsidR="00AC039E" w:rsidRDefault="00AC039E" w:rsidP="00AC039E">
      <w:pPr>
        <w:jc w:val="center"/>
        <w:rPr>
          <w:rFonts w:ascii="Trebuchet MS" w:hAnsi="Trebuchet MS"/>
          <w:b/>
          <w:bCs/>
          <w:sz w:val="20"/>
          <w:szCs w:val="20"/>
        </w:rPr>
      </w:pPr>
      <w:r w:rsidRPr="00701C66">
        <w:rPr>
          <w:rFonts w:ascii="Trebuchet MS" w:hAnsi="Trebuchet MS"/>
          <w:b/>
          <w:bCs/>
          <w:sz w:val="20"/>
          <w:szCs w:val="20"/>
        </w:rPr>
        <w:t>…/ends</w:t>
      </w:r>
    </w:p>
    <w:p w14:paraId="791DEA06" w14:textId="77777777" w:rsidR="00776C79" w:rsidRDefault="00776C79" w:rsidP="00AC039E">
      <w:pPr>
        <w:jc w:val="center"/>
        <w:rPr>
          <w:rFonts w:ascii="Trebuchet MS" w:hAnsi="Trebuchet MS"/>
          <w:b/>
          <w:bCs/>
          <w:sz w:val="20"/>
          <w:szCs w:val="20"/>
        </w:rPr>
      </w:pPr>
    </w:p>
    <w:p w14:paraId="3D11B0E2" w14:textId="77777777" w:rsidR="00776C79" w:rsidRPr="00701C66" w:rsidRDefault="00776C79" w:rsidP="00AC039E">
      <w:pPr>
        <w:jc w:val="center"/>
        <w:rPr>
          <w:rFonts w:ascii="Trebuchet MS" w:hAnsi="Trebuchet MS"/>
          <w:b/>
          <w:bCs/>
          <w:sz w:val="20"/>
          <w:szCs w:val="20"/>
        </w:rPr>
      </w:pPr>
    </w:p>
    <w:p w14:paraId="5F78FACC" w14:textId="77777777" w:rsidR="001E2534" w:rsidRPr="001E2534" w:rsidRDefault="001E2534" w:rsidP="001E2534">
      <w:pPr>
        <w:shd w:val="clear" w:color="auto" w:fill="FFFFFF"/>
        <w:rPr>
          <w:rFonts w:ascii="Trebuchet MS" w:eastAsia="Times New Roman" w:hAnsi="Trebuchet MS" w:cs="Arial"/>
          <w:b/>
          <w:bCs/>
          <w:kern w:val="0"/>
          <w:sz w:val="18"/>
          <w:szCs w:val="18"/>
          <w:lang w:val="en" w:eastAsia="en-GB"/>
        </w:rPr>
      </w:pPr>
      <w:r w:rsidRPr="001E2534">
        <w:rPr>
          <w:rFonts w:ascii="Trebuchet MS" w:eastAsia="Times New Roman" w:hAnsi="Trebuchet MS" w:cs="Arial"/>
          <w:b/>
          <w:bCs/>
          <w:kern w:val="0"/>
          <w:sz w:val="18"/>
          <w:szCs w:val="18"/>
          <w:lang w:val="en" w:eastAsia="en-GB"/>
        </w:rPr>
        <w:t>About Growthpoint Properties</w:t>
      </w:r>
    </w:p>
    <w:p w14:paraId="3F3A4D4F" w14:textId="77777777" w:rsidR="001E2534" w:rsidRPr="001E2534" w:rsidRDefault="001E2534" w:rsidP="001E2534">
      <w:pPr>
        <w:shd w:val="clear" w:color="auto" w:fill="FFFFFF"/>
        <w:rPr>
          <w:rFonts w:ascii="Trebuchet MS" w:eastAsia="Times New Roman" w:hAnsi="Trebuchet MS" w:cs="Calibri"/>
          <w:kern w:val="0"/>
          <w:sz w:val="18"/>
          <w:szCs w:val="18"/>
          <w:lang w:val="en" w:eastAsia="en-GB"/>
        </w:rPr>
      </w:pPr>
      <w:r w:rsidRPr="001E2534">
        <w:rPr>
          <w:rFonts w:ascii="Trebuchet MS" w:eastAsia="Times New Roman" w:hAnsi="Trebuchet MS" w:cs="Arial"/>
          <w:kern w:val="0"/>
          <w:sz w:val="18"/>
          <w:szCs w:val="18"/>
          <w:lang w:val="en" w:eastAsia="en-GB"/>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1E2534">
        <w:rPr>
          <w:rFonts w:ascii="Trebuchet MS" w:eastAsia="Times New Roman" w:hAnsi="Trebuchet MS" w:cs="Calibri"/>
          <w:kern w:val="0"/>
          <w:sz w:val="18"/>
          <w:szCs w:val="18"/>
          <w:lang w:val="en" w:eastAsia="en-GB"/>
        </w:rPr>
        <w:t xml:space="preserve">tor in South Africa, establishing green building as an accepted practice in the local commercial property sector and driving the adoption of renewable energy. Visit </w:t>
      </w:r>
      <w:hyperlink r:id="rId10" w:history="1">
        <w:r w:rsidRPr="001E2534">
          <w:rPr>
            <w:rFonts w:ascii="Trebuchet MS" w:eastAsia="Merriweather" w:hAnsi="Trebuchet MS" w:cs="Calibri"/>
            <w:color w:val="0563C1"/>
            <w:kern w:val="0"/>
            <w:sz w:val="18"/>
            <w:szCs w:val="18"/>
            <w:u w:val="single"/>
            <w:lang w:val="en" w:eastAsia="en-GB"/>
          </w:rPr>
          <w:t>growthpoint.co.za</w:t>
        </w:r>
      </w:hyperlink>
      <w:r w:rsidRPr="001E2534">
        <w:rPr>
          <w:rFonts w:ascii="Trebuchet MS" w:eastAsia="Times New Roman" w:hAnsi="Trebuchet MS" w:cs="Calibri"/>
          <w:kern w:val="0"/>
          <w:sz w:val="18"/>
          <w:szCs w:val="18"/>
          <w:lang w:val="en" w:eastAsia="en-GB"/>
        </w:rPr>
        <w:t xml:space="preserve"> for more information. Connect with Growthpoint on </w:t>
      </w:r>
      <w:hyperlink r:id="rId11" w:history="1">
        <w:r w:rsidRPr="001E2534">
          <w:rPr>
            <w:rFonts w:ascii="Trebuchet MS" w:eastAsia="Merriweather" w:hAnsi="Trebuchet MS" w:cs="Calibri"/>
            <w:color w:val="0563C1"/>
            <w:kern w:val="0"/>
            <w:sz w:val="18"/>
            <w:szCs w:val="18"/>
            <w:u w:val="single"/>
            <w:lang w:val="en" w:eastAsia="en-GB"/>
          </w:rPr>
          <w:t>Facebook</w:t>
        </w:r>
      </w:hyperlink>
      <w:r w:rsidRPr="001E2534">
        <w:rPr>
          <w:rFonts w:ascii="Trebuchet MS" w:eastAsia="Times New Roman" w:hAnsi="Trebuchet MS" w:cs="Calibri"/>
          <w:kern w:val="0"/>
          <w:sz w:val="18"/>
          <w:szCs w:val="18"/>
          <w:lang w:val="en" w:eastAsia="en-GB"/>
        </w:rPr>
        <w:t xml:space="preserve">, </w:t>
      </w:r>
      <w:hyperlink r:id="rId12" w:history="1">
        <w:r w:rsidRPr="001E2534">
          <w:rPr>
            <w:rFonts w:ascii="Trebuchet MS" w:eastAsia="Merriweather" w:hAnsi="Trebuchet MS" w:cs="Calibri"/>
            <w:color w:val="0563C1"/>
            <w:kern w:val="0"/>
            <w:sz w:val="18"/>
            <w:szCs w:val="18"/>
            <w:u w:val="single"/>
            <w:lang w:val="en" w:eastAsia="en-GB"/>
          </w:rPr>
          <w:t>Twitter</w:t>
        </w:r>
      </w:hyperlink>
      <w:r w:rsidRPr="001E2534">
        <w:rPr>
          <w:rFonts w:ascii="Trebuchet MS" w:eastAsia="Times New Roman" w:hAnsi="Trebuchet MS" w:cs="Calibri"/>
          <w:kern w:val="0"/>
          <w:sz w:val="18"/>
          <w:szCs w:val="18"/>
          <w:lang w:val="en" w:eastAsia="en-GB"/>
        </w:rPr>
        <w:t xml:space="preserve">, </w:t>
      </w:r>
      <w:hyperlink r:id="rId13" w:history="1">
        <w:r w:rsidRPr="001E2534">
          <w:rPr>
            <w:rFonts w:ascii="Trebuchet MS" w:eastAsia="Merriweather" w:hAnsi="Trebuchet MS" w:cs="Calibri"/>
            <w:color w:val="0563C1"/>
            <w:kern w:val="0"/>
            <w:sz w:val="18"/>
            <w:szCs w:val="18"/>
            <w:u w:val="single"/>
            <w:lang w:val="en" w:eastAsia="en-GB"/>
          </w:rPr>
          <w:t>LinkedIn</w:t>
        </w:r>
      </w:hyperlink>
      <w:r w:rsidRPr="001E2534">
        <w:rPr>
          <w:rFonts w:ascii="Trebuchet MS" w:eastAsia="Times New Roman" w:hAnsi="Trebuchet MS" w:cs="Calibri"/>
          <w:kern w:val="0"/>
          <w:sz w:val="18"/>
          <w:szCs w:val="18"/>
          <w:lang w:val="en" w:eastAsia="en-GB"/>
        </w:rPr>
        <w:t xml:space="preserve"> and </w:t>
      </w:r>
      <w:hyperlink r:id="rId14" w:history="1">
        <w:r w:rsidRPr="001E2534">
          <w:rPr>
            <w:rFonts w:ascii="Trebuchet MS" w:eastAsia="Merriweather" w:hAnsi="Trebuchet MS" w:cs="Calibri"/>
            <w:color w:val="0563C1"/>
            <w:kern w:val="0"/>
            <w:sz w:val="18"/>
            <w:szCs w:val="18"/>
            <w:u w:val="single"/>
            <w:lang w:val="en" w:eastAsia="en-GB"/>
          </w:rPr>
          <w:t>YouTube</w:t>
        </w:r>
      </w:hyperlink>
      <w:r w:rsidRPr="001E2534">
        <w:rPr>
          <w:rFonts w:ascii="Trebuchet MS" w:eastAsia="Times New Roman" w:hAnsi="Trebuchet MS" w:cs="Calibri"/>
          <w:kern w:val="0"/>
          <w:sz w:val="18"/>
          <w:szCs w:val="18"/>
          <w:lang w:val="en" w:eastAsia="en-GB"/>
        </w:rPr>
        <w:t>.</w:t>
      </w:r>
    </w:p>
    <w:p w14:paraId="3AB4AA70" w14:textId="77777777" w:rsidR="001E2534" w:rsidRPr="001E2534" w:rsidRDefault="001E2534" w:rsidP="001E2534">
      <w:pPr>
        <w:shd w:val="clear" w:color="auto" w:fill="FFFFFF"/>
        <w:spacing w:line="276" w:lineRule="auto"/>
        <w:rPr>
          <w:rFonts w:ascii="Trebuchet MS" w:eastAsia="Times New Roman" w:hAnsi="Trebuchet MS" w:cs="Calibri"/>
          <w:kern w:val="0"/>
          <w:sz w:val="20"/>
          <w:szCs w:val="20"/>
          <w:lang w:val="en" w:eastAsia="en-GB"/>
        </w:rPr>
      </w:pPr>
    </w:p>
    <w:p w14:paraId="2A1B82EA" w14:textId="77777777" w:rsidR="001E2534" w:rsidRPr="001E2534" w:rsidRDefault="001E2534" w:rsidP="001E2534">
      <w:pPr>
        <w:rPr>
          <w:rFonts w:ascii="Trebuchet MS" w:eastAsia="Calibri" w:hAnsi="Trebuchet MS" w:cs="Times New Roman"/>
          <w:b/>
          <w:bCs/>
          <w:kern w:val="0"/>
          <w:sz w:val="20"/>
          <w:szCs w:val="20"/>
          <w:lang w:eastAsia="en-GB"/>
        </w:rPr>
      </w:pPr>
      <w:r w:rsidRPr="001E2534">
        <w:rPr>
          <w:rFonts w:ascii="Trebuchet MS" w:eastAsia="Calibri" w:hAnsi="Trebuchet MS" w:cs="Times New Roman"/>
          <w:b/>
          <w:bCs/>
          <w:kern w:val="0"/>
          <w:sz w:val="20"/>
          <w:szCs w:val="20"/>
          <w:lang w:eastAsia="en-GB"/>
        </w:rPr>
        <w:t>RELEASED BY CATCHWORDS FOR:</w:t>
      </w:r>
    </w:p>
    <w:p w14:paraId="70B37005" w14:textId="77777777" w:rsidR="001E2534" w:rsidRPr="001E2534" w:rsidRDefault="001E2534" w:rsidP="001E2534">
      <w:pPr>
        <w:spacing w:line="276" w:lineRule="auto"/>
        <w:textAlignment w:val="baseline"/>
        <w:rPr>
          <w:rFonts w:ascii="Trebuchet MS" w:eastAsia="Times New Roman" w:hAnsi="Trebuchet MS" w:cs="Segoe UI"/>
          <w:kern w:val="0"/>
          <w:sz w:val="20"/>
          <w:szCs w:val="20"/>
          <w:lang w:eastAsia="en-GB"/>
          <w14:ligatures w14:val="none"/>
        </w:rPr>
      </w:pPr>
      <w:r w:rsidRPr="001E2534">
        <w:rPr>
          <w:rFonts w:ascii="Trebuchet MS" w:eastAsia="Times New Roman" w:hAnsi="Trebuchet MS" w:cs="Segoe UI"/>
          <w:b/>
          <w:bCs/>
          <w:color w:val="000000"/>
          <w:kern w:val="0"/>
          <w:sz w:val="20"/>
          <w:szCs w:val="20"/>
          <w:lang w:eastAsia="en-GB"/>
          <w14:ligatures w14:val="none"/>
        </w:rPr>
        <w:t>Growthpoint Properties Limited</w:t>
      </w:r>
      <w:r w:rsidRPr="001E2534">
        <w:rPr>
          <w:rFonts w:ascii="Trebuchet MS" w:eastAsia="Times New Roman" w:hAnsi="Trebuchet MS" w:cs="Segoe UI"/>
          <w:color w:val="000000"/>
          <w:kern w:val="0"/>
          <w:sz w:val="20"/>
          <w:szCs w:val="20"/>
          <w:lang w:eastAsia="en-GB"/>
          <w14:ligatures w14:val="none"/>
        </w:rPr>
        <w:t> </w:t>
      </w:r>
    </w:p>
    <w:p w14:paraId="2EDD666E" w14:textId="77777777" w:rsidR="001E2534" w:rsidRPr="001E2534" w:rsidRDefault="001E2534" w:rsidP="001E2534">
      <w:pPr>
        <w:spacing w:line="276" w:lineRule="auto"/>
        <w:textAlignment w:val="baseline"/>
        <w:rPr>
          <w:rFonts w:ascii="Trebuchet MS" w:eastAsia="Times New Roman" w:hAnsi="Trebuchet MS" w:cs="Segoe UI"/>
          <w:kern w:val="0"/>
          <w:sz w:val="20"/>
          <w:szCs w:val="20"/>
          <w:lang w:eastAsia="en-GB"/>
          <w14:ligatures w14:val="none"/>
        </w:rPr>
      </w:pPr>
      <w:r w:rsidRPr="001E2534">
        <w:rPr>
          <w:rFonts w:ascii="Trebuchet MS" w:eastAsia="Times New Roman" w:hAnsi="Trebuchet MS" w:cs="Segoe UI"/>
          <w:kern w:val="0"/>
          <w:sz w:val="20"/>
          <w:szCs w:val="20"/>
          <w:lang w:eastAsia="en-GB"/>
          <w14:ligatures w14:val="none"/>
        </w:rPr>
        <w:t>Norbert Sasse, Group Chief Executive Officer </w:t>
      </w:r>
    </w:p>
    <w:p w14:paraId="059D53E3" w14:textId="050092E9" w:rsidR="001E2534" w:rsidRPr="001E2534" w:rsidRDefault="001E2534" w:rsidP="00F8313B">
      <w:pPr>
        <w:spacing w:line="276" w:lineRule="auto"/>
        <w:textAlignment w:val="baseline"/>
        <w:rPr>
          <w:rFonts w:ascii="Times New Roman" w:eastAsia="Calibri" w:hAnsi="Times New Roman" w:cs="Times New Roman"/>
          <w:kern w:val="0"/>
          <w:sz w:val="28"/>
          <w:szCs w:val="28"/>
          <w:lang w:eastAsia="en-GB"/>
        </w:rPr>
      </w:pPr>
      <w:r w:rsidRPr="001E2534">
        <w:rPr>
          <w:rFonts w:ascii="Trebuchet MS" w:eastAsia="Times New Roman" w:hAnsi="Trebuchet MS" w:cs="Segoe UI"/>
          <w:color w:val="000000"/>
          <w:kern w:val="0"/>
          <w:sz w:val="20"/>
          <w:szCs w:val="20"/>
          <w:lang w:eastAsia="en-GB"/>
          <w14:ligatures w14:val="none"/>
        </w:rPr>
        <w:t>Tel: +27 (0) 11 944 60</w:t>
      </w:r>
      <w:r w:rsidR="00F8313B">
        <w:rPr>
          <w:rFonts w:ascii="Trebuchet MS" w:eastAsia="Times New Roman" w:hAnsi="Trebuchet MS" w:cs="Segoe UI"/>
          <w:color w:val="000000"/>
          <w:kern w:val="0"/>
          <w:sz w:val="20"/>
          <w:szCs w:val="20"/>
          <w:lang w:eastAsia="en-GB"/>
          <w14:ligatures w14:val="none"/>
        </w:rPr>
        <w:t>91</w:t>
      </w:r>
      <w:r w:rsidRPr="001E2534">
        <w:rPr>
          <w:rFonts w:ascii="Trebuchet MS" w:eastAsia="Times New Roman" w:hAnsi="Trebuchet MS" w:cs="Segoe UI"/>
          <w:color w:val="000000"/>
          <w:kern w:val="0"/>
          <w:sz w:val="20"/>
          <w:szCs w:val="20"/>
          <w:lang w:eastAsia="en-GB"/>
          <w14:ligatures w14:val="none"/>
        </w:rPr>
        <w:t> </w:t>
      </w:r>
    </w:p>
    <w:p w14:paraId="7FA7E156" w14:textId="77777777" w:rsidR="001E2534" w:rsidRPr="001E2534" w:rsidRDefault="001E2534" w:rsidP="001E2534">
      <w:pPr>
        <w:rPr>
          <w:rFonts w:ascii="Times New Roman" w:eastAsia="Calibri" w:hAnsi="Times New Roman" w:cs="Times New Roman"/>
          <w:kern w:val="0"/>
          <w:sz w:val="28"/>
          <w:szCs w:val="28"/>
          <w:lang w:eastAsia="en-GB"/>
        </w:rPr>
      </w:pPr>
      <w:r w:rsidRPr="001E2534">
        <w:rPr>
          <w:rFonts w:ascii="Trebuchet MS" w:eastAsia="Calibri" w:hAnsi="Trebuchet MS" w:cs="Times New Roman"/>
          <w:i/>
          <w:iCs/>
          <w:kern w:val="0"/>
          <w:sz w:val="20"/>
          <w:szCs w:val="20"/>
          <w:lang w:eastAsia="en-GB"/>
        </w:rPr>
        <w:t>For more information or to book an interview, kindly contact Bronwen Noble at 083 453 6668 or </w:t>
      </w:r>
      <w:hyperlink r:id="rId15" w:history="1">
        <w:r w:rsidRPr="001E2534">
          <w:rPr>
            <w:rFonts w:ascii="Trebuchet MS" w:eastAsia="Calibri" w:hAnsi="Trebuchet MS" w:cs="Times New Roman"/>
            <w:i/>
            <w:iCs/>
            <w:color w:val="0000FF"/>
            <w:kern w:val="0"/>
            <w:sz w:val="20"/>
            <w:szCs w:val="20"/>
            <w:u w:val="single"/>
            <w:lang w:eastAsia="en-GB"/>
          </w:rPr>
          <w:t>bronwen@catchwords.co.za</w:t>
        </w:r>
      </w:hyperlink>
    </w:p>
    <w:p w14:paraId="667C9115" w14:textId="77777777" w:rsidR="001E2534" w:rsidRPr="001E2534" w:rsidRDefault="001E2534" w:rsidP="001E2534">
      <w:pPr>
        <w:shd w:val="clear" w:color="auto" w:fill="FFFFFF"/>
        <w:spacing w:line="276" w:lineRule="auto"/>
        <w:rPr>
          <w:rFonts w:ascii="Trebuchet MS" w:eastAsia="Times New Roman" w:hAnsi="Trebuchet MS" w:cs="Calibri"/>
          <w:kern w:val="0"/>
          <w:sz w:val="20"/>
          <w:szCs w:val="20"/>
          <w:lang w:val="en" w:eastAsia="en-GB"/>
        </w:rPr>
      </w:pPr>
    </w:p>
    <w:p w14:paraId="043A5E3C" w14:textId="77777777" w:rsidR="007705EB" w:rsidRPr="00701C66" w:rsidRDefault="007705EB" w:rsidP="002C0BB4">
      <w:pPr>
        <w:rPr>
          <w:rFonts w:ascii="Trebuchet MS" w:hAnsi="Trebuchet MS"/>
        </w:rPr>
      </w:pPr>
    </w:p>
    <w:sectPr w:rsidR="007705EB" w:rsidRPr="00701C66" w:rsidSect="00776C79">
      <w:headerReference w:type="default" r:id="rId16"/>
      <w:footerReference w:type="default" r:id="rId17"/>
      <w:headerReference w:type="first" r:id="rId18"/>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6897" w14:textId="77777777" w:rsidR="008C0E08" w:rsidRDefault="008C0E08" w:rsidP="00A3544F">
      <w:r>
        <w:separator/>
      </w:r>
    </w:p>
    <w:p w14:paraId="028D1D29" w14:textId="77777777" w:rsidR="008C0E08" w:rsidRDefault="008C0E08"/>
  </w:endnote>
  <w:endnote w:type="continuationSeparator" w:id="0">
    <w:p w14:paraId="0DFC196A" w14:textId="77777777" w:rsidR="008C0E08" w:rsidRDefault="008C0E08" w:rsidP="00A3544F">
      <w:r>
        <w:continuationSeparator/>
      </w:r>
    </w:p>
    <w:p w14:paraId="1B67BA92" w14:textId="77777777" w:rsidR="008C0E08" w:rsidRDefault="008C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143001"/>
      <w:docPartObj>
        <w:docPartGallery w:val="Page Numbers (Bottom of Page)"/>
        <w:docPartUnique/>
      </w:docPartObj>
    </w:sdtPr>
    <w:sdtEndPr>
      <w:rPr>
        <w:noProof/>
      </w:rPr>
    </w:sdtEndPr>
    <w:sdtContent>
      <w:p w14:paraId="567FD9EA" w14:textId="59504B4C" w:rsidR="00A3544F" w:rsidRDefault="00A354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A8E0C" w14:textId="77777777" w:rsidR="00A3544F" w:rsidRDefault="00A3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B9DB1" w14:textId="77777777" w:rsidR="008C0E08" w:rsidRDefault="008C0E08" w:rsidP="00A3544F">
      <w:r>
        <w:separator/>
      </w:r>
    </w:p>
    <w:p w14:paraId="6C7D3194" w14:textId="77777777" w:rsidR="008C0E08" w:rsidRDefault="008C0E08"/>
  </w:footnote>
  <w:footnote w:type="continuationSeparator" w:id="0">
    <w:p w14:paraId="57D3F853" w14:textId="77777777" w:rsidR="008C0E08" w:rsidRDefault="008C0E08" w:rsidP="00A3544F">
      <w:r>
        <w:continuationSeparator/>
      </w:r>
    </w:p>
    <w:p w14:paraId="79EA6AC1" w14:textId="77777777" w:rsidR="008C0E08" w:rsidRDefault="008C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2938" w14:textId="1FE0C420" w:rsidR="001E2534" w:rsidRDefault="001E2534" w:rsidP="00F8313B">
    <w:pPr>
      <w:pStyle w:val="Header"/>
      <w:tabs>
        <w:tab w:val="clear" w:pos="4513"/>
        <w:tab w:val="clear" w:pos="9026"/>
        <w:tab w:val="left" w:pos="24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D145A" w14:textId="34666D50" w:rsidR="001E2534" w:rsidRDefault="001E2534" w:rsidP="00F8313B">
    <w:pPr>
      <w:pStyle w:val="Header"/>
      <w:jc w:val="center"/>
    </w:pPr>
    <w:r>
      <w:rPr>
        <w:noProof/>
      </w:rPr>
      <w:drawing>
        <wp:inline distT="0" distB="0" distL="0" distR="0" wp14:anchorId="587C6077" wp14:editId="368D9D3B">
          <wp:extent cx="2993390" cy="1231265"/>
          <wp:effectExtent l="0" t="0" r="0" b="0"/>
          <wp:docPr id="3884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01BA5"/>
    <w:multiLevelType w:val="hybridMultilevel"/>
    <w:tmpl w:val="9BD834FC"/>
    <w:lvl w:ilvl="0" w:tplc="0994E480">
      <w:start w:val="1"/>
      <w:numFmt w:val="bullet"/>
      <w:lvlText w:val=""/>
      <w:lvlJc w:val="left"/>
      <w:pPr>
        <w:tabs>
          <w:tab w:val="num" w:pos="720"/>
        </w:tabs>
        <w:ind w:left="720" w:hanging="360"/>
      </w:pPr>
      <w:rPr>
        <w:rFonts w:ascii="Wingdings" w:hAnsi="Wingdings" w:hint="default"/>
      </w:rPr>
    </w:lvl>
    <w:lvl w:ilvl="1" w:tplc="A20E86A6" w:tentative="1">
      <w:start w:val="1"/>
      <w:numFmt w:val="bullet"/>
      <w:lvlText w:val=""/>
      <w:lvlJc w:val="left"/>
      <w:pPr>
        <w:tabs>
          <w:tab w:val="num" w:pos="1440"/>
        </w:tabs>
        <w:ind w:left="1440" w:hanging="360"/>
      </w:pPr>
      <w:rPr>
        <w:rFonts w:ascii="Wingdings" w:hAnsi="Wingdings" w:hint="default"/>
      </w:rPr>
    </w:lvl>
    <w:lvl w:ilvl="2" w:tplc="1CB81EB2" w:tentative="1">
      <w:start w:val="1"/>
      <w:numFmt w:val="bullet"/>
      <w:lvlText w:val=""/>
      <w:lvlJc w:val="left"/>
      <w:pPr>
        <w:tabs>
          <w:tab w:val="num" w:pos="2160"/>
        </w:tabs>
        <w:ind w:left="2160" w:hanging="360"/>
      </w:pPr>
      <w:rPr>
        <w:rFonts w:ascii="Wingdings" w:hAnsi="Wingdings" w:hint="default"/>
      </w:rPr>
    </w:lvl>
    <w:lvl w:ilvl="3" w:tplc="FA7045E4" w:tentative="1">
      <w:start w:val="1"/>
      <w:numFmt w:val="bullet"/>
      <w:lvlText w:val=""/>
      <w:lvlJc w:val="left"/>
      <w:pPr>
        <w:tabs>
          <w:tab w:val="num" w:pos="2880"/>
        </w:tabs>
        <w:ind w:left="2880" w:hanging="360"/>
      </w:pPr>
      <w:rPr>
        <w:rFonts w:ascii="Wingdings" w:hAnsi="Wingdings" w:hint="default"/>
      </w:rPr>
    </w:lvl>
    <w:lvl w:ilvl="4" w:tplc="966417EC" w:tentative="1">
      <w:start w:val="1"/>
      <w:numFmt w:val="bullet"/>
      <w:lvlText w:val=""/>
      <w:lvlJc w:val="left"/>
      <w:pPr>
        <w:tabs>
          <w:tab w:val="num" w:pos="3600"/>
        </w:tabs>
        <w:ind w:left="3600" w:hanging="360"/>
      </w:pPr>
      <w:rPr>
        <w:rFonts w:ascii="Wingdings" w:hAnsi="Wingdings" w:hint="default"/>
      </w:rPr>
    </w:lvl>
    <w:lvl w:ilvl="5" w:tplc="4080FC1C" w:tentative="1">
      <w:start w:val="1"/>
      <w:numFmt w:val="bullet"/>
      <w:lvlText w:val=""/>
      <w:lvlJc w:val="left"/>
      <w:pPr>
        <w:tabs>
          <w:tab w:val="num" w:pos="4320"/>
        </w:tabs>
        <w:ind w:left="4320" w:hanging="360"/>
      </w:pPr>
      <w:rPr>
        <w:rFonts w:ascii="Wingdings" w:hAnsi="Wingdings" w:hint="default"/>
      </w:rPr>
    </w:lvl>
    <w:lvl w:ilvl="6" w:tplc="6C580E7C" w:tentative="1">
      <w:start w:val="1"/>
      <w:numFmt w:val="bullet"/>
      <w:lvlText w:val=""/>
      <w:lvlJc w:val="left"/>
      <w:pPr>
        <w:tabs>
          <w:tab w:val="num" w:pos="5040"/>
        </w:tabs>
        <w:ind w:left="5040" w:hanging="360"/>
      </w:pPr>
      <w:rPr>
        <w:rFonts w:ascii="Wingdings" w:hAnsi="Wingdings" w:hint="default"/>
      </w:rPr>
    </w:lvl>
    <w:lvl w:ilvl="7" w:tplc="22881840" w:tentative="1">
      <w:start w:val="1"/>
      <w:numFmt w:val="bullet"/>
      <w:lvlText w:val=""/>
      <w:lvlJc w:val="left"/>
      <w:pPr>
        <w:tabs>
          <w:tab w:val="num" w:pos="5760"/>
        </w:tabs>
        <w:ind w:left="5760" w:hanging="360"/>
      </w:pPr>
      <w:rPr>
        <w:rFonts w:ascii="Wingdings" w:hAnsi="Wingdings" w:hint="default"/>
      </w:rPr>
    </w:lvl>
    <w:lvl w:ilvl="8" w:tplc="AC968DFA" w:tentative="1">
      <w:start w:val="1"/>
      <w:numFmt w:val="bullet"/>
      <w:lvlText w:val=""/>
      <w:lvlJc w:val="left"/>
      <w:pPr>
        <w:tabs>
          <w:tab w:val="num" w:pos="6480"/>
        </w:tabs>
        <w:ind w:left="6480" w:hanging="360"/>
      </w:pPr>
      <w:rPr>
        <w:rFonts w:ascii="Wingdings" w:hAnsi="Wingdings" w:hint="default"/>
      </w:rPr>
    </w:lvl>
  </w:abstractNum>
  <w:num w:numId="1" w16cid:durableId="32737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09"/>
    <w:rsid w:val="00001777"/>
    <w:rsid w:val="00006204"/>
    <w:rsid w:val="00007380"/>
    <w:rsid w:val="000129DD"/>
    <w:rsid w:val="0001467D"/>
    <w:rsid w:val="0001549E"/>
    <w:rsid w:val="00017C48"/>
    <w:rsid w:val="00021284"/>
    <w:rsid w:val="00023944"/>
    <w:rsid w:val="000254E2"/>
    <w:rsid w:val="00025C3E"/>
    <w:rsid w:val="00025FA8"/>
    <w:rsid w:val="00026D52"/>
    <w:rsid w:val="00031F13"/>
    <w:rsid w:val="00031F4B"/>
    <w:rsid w:val="00032385"/>
    <w:rsid w:val="00033ADC"/>
    <w:rsid w:val="000371E4"/>
    <w:rsid w:val="00040ED6"/>
    <w:rsid w:val="00042918"/>
    <w:rsid w:val="00043F72"/>
    <w:rsid w:val="00050FED"/>
    <w:rsid w:val="000542C3"/>
    <w:rsid w:val="00054E14"/>
    <w:rsid w:val="000600E9"/>
    <w:rsid w:val="00060F49"/>
    <w:rsid w:val="00063249"/>
    <w:rsid w:val="00064E5B"/>
    <w:rsid w:val="00066BF3"/>
    <w:rsid w:val="0007003B"/>
    <w:rsid w:val="00073D4B"/>
    <w:rsid w:val="00075049"/>
    <w:rsid w:val="00082466"/>
    <w:rsid w:val="0008791F"/>
    <w:rsid w:val="00090600"/>
    <w:rsid w:val="00091792"/>
    <w:rsid w:val="00092676"/>
    <w:rsid w:val="000A197A"/>
    <w:rsid w:val="000A41FE"/>
    <w:rsid w:val="000A7202"/>
    <w:rsid w:val="000B4942"/>
    <w:rsid w:val="000C19B7"/>
    <w:rsid w:val="000C233D"/>
    <w:rsid w:val="000C6081"/>
    <w:rsid w:val="000C6E24"/>
    <w:rsid w:val="000E496E"/>
    <w:rsid w:val="000F4CD5"/>
    <w:rsid w:val="001025FD"/>
    <w:rsid w:val="001058CD"/>
    <w:rsid w:val="00106F80"/>
    <w:rsid w:val="0011322B"/>
    <w:rsid w:val="001236B1"/>
    <w:rsid w:val="001271B3"/>
    <w:rsid w:val="00127BE8"/>
    <w:rsid w:val="001300B2"/>
    <w:rsid w:val="00133288"/>
    <w:rsid w:val="00133D28"/>
    <w:rsid w:val="00134390"/>
    <w:rsid w:val="0013615E"/>
    <w:rsid w:val="00147AA0"/>
    <w:rsid w:val="0015070F"/>
    <w:rsid w:val="0015143F"/>
    <w:rsid w:val="0015318A"/>
    <w:rsid w:val="00171519"/>
    <w:rsid w:val="00176C3B"/>
    <w:rsid w:val="00180594"/>
    <w:rsid w:val="001815C2"/>
    <w:rsid w:val="00181CB2"/>
    <w:rsid w:val="001827A7"/>
    <w:rsid w:val="00185573"/>
    <w:rsid w:val="00187D36"/>
    <w:rsid w:val="0019155F"/>
    <w:rsid w:val="00197996"/>
    <w:rsid w:val="001A13B3"/>
    <w:rsid w:val="001A38DB"/>
    <w:rsid w:val="001A3CFE"/>
    <w:rsid w:val="001A7039"/>
    <w:rsid w:val="001B3593"/>
    <w:rsid w:val="001B3B78"/>
    <w:rsid w:val="001B4459"/>
    <w:rsid w:val="001B67CA"/>
    <w:rsid w:val="001C19EB"/>
    <w:rsid w:val="001C6C70"/>
    <w:rsid w:val="001D0FF0"/>
    <w:rsid w:val="001D4509"/>
    <w:rsid w:val="001E13AF"/>
    <w:rsid w:val="001E21A6"/>
    <w:rsid w:val="001E2534"/>
    <w:rsid w:val="001E2ABD"/>
    <w:rsid w:val="001E4EFF"/>
    <w:rsid w:val="001E5BE5"/>
    <w:rsid w:val="001E6C44"/>
    <w:rsid w:val="001E7233"/>
    <w:rsid w:val="001F05EB"/>
    <w:rsid w:val="001F15E9"/>
    <w:rsid w:val="001F4528"/>
    <w:rsid w:val="001F4AF5"/>
    <w:rsid w:val="002000C6"/>
    <w:rsid w:val="002012A7"/>
    <w:rsid w:val="00210A0D"/>
    <w:rsid w:val="002128B6"/>
    <w:rsid w:val="00223A96"/>
    <w:rsid w:val="00223ECB"/>
    <w:rsid w:val="00224766"/>
    <w:rsid w:val="002400D7"/>
    <w:rsid w:val="0024025F"/>
    <w:rsid w:val="00246EA8"/>
    <w:rsid w:val="00251318"/>
    <w:rsid w:val="00254185"/>
    <w:rsid w:val="0025448E"/>
    <w:rsid w:val="00263A40"/>
    <w:rsid w:val="002728BB"/>
    <w:rsid w:val="00273BF6"/>
    <w:rsid w:val="00274AFC"/>
    <w:rsid w:val="00282A13"/>
    <w:rsid w:val="00284C03"/>
    <w:rsid w:val="00287834"/>
    <w:rsid w:val="00287874"/>
    <w:rsid w:val="00287A3D"/>
    <w:rsid w:val="00287BF0"/>
    <w:rsid w:val="002903FB"/>
    <w:rsid w:val="00294424"/>
    <w:rsid w:val="00294B4A"/>
    <w:rsid w:val="00295759"/>
    <w:rsid w:val="00296F58"/>
    <w:rsid w:val="002A1700"/>
    <w:rsid w:val="002A30EB"/>
    <w:rsid w:val="002B1CDA"/>
    <w:rsid w:val="002B1E77"/>
    <w:rsid w:val="002B20A0"/>
    <w:rsid w:val="002B51B7"/>
    <w:rsid w:val="002B5E93"/>
    <w:rsid w:val="002C021F"/>
    <w:rsid w:val="002C0BB4"/>
    <w:rsid w:val="002C38C3"/>
    <w:rsid w:val="002D1FFF"/>
    <w:rsid w:val="002D4699"/>
    <w:rsid w:val="002D5BDF"/>
    <w:rsid w:val="002D7D06"/>
    <w:rsid w:val="002E1494"/>
    <w:rsid w:val="002E1BD8"/>
    <w:rsid w:val="002E1E29"/>
    <w:rsid w:val="002E584C"/>
    <w:rsid w:val="002F667B"/>
    <w:rsid w:val="0030069B"/>
    <w:rsid w:val="00301AD8"/>
    <w:rsid w:val="003054CB"/>
    <w:rsid w:val="003075DA"/>
    <w:rsid w:val="00316EBD"/>
    <w:rsid w:val="00320602"/>
    <w:rsid w:val="003236DC"/>
    <w:rsid w:val="00327DBA"/>
    <w:rsid w:val="0034297E"/>
    <w:rsid w:val="00355385"/>
    <w:rsid w:val="003577FD"/>
    <w:rsid w:val="00376956"/>
    <w:rsid w:val="003873DF"/>
    <w:rsid w:val="00395DD7"/>
    <w:rsid w:val="00397748"/>
    <w:rsid w:val="003A2FC4"/>
    <w:rsid w:val="003B119F"/>
    <w:rsid w:val="003B16DF"/>
    <w:rsid w:val="003B5419"/>
    <w:rsid w:val="003C0F28"/>
    <w:rsid w:val="003C1D26"/>
    <w:rsid w:val="003C3F23"/>
    <w:rsid w:val="003C7BAF"/>
    <w:rsid w:val="003D4FE3"/>
    <w:rsid w:val="003D6655"/>
    <w:rsid w:val="003E2606"/>
    <w:rsid w:val="003E7957"/>
    <w:rsid w:val="003F24F3"/>
    <w:rsid w:val="003F3431"/>
    <w:rsid w:val="00401F4A"/>
    <w:rsid w:val="00402A99"/>
    <w:rsid w:val="00413585"/>
    <w:rsid w:val="004166CC"/>
    <w:rsid w:val="004231B0"/>
    <w:rsid w:val="004248AB"/>
    <w:rsid w:val="00435365"/>
    <w:rsid w:val="00435E23"/>
    <w:rsid w:val="00436B6E"/>
    <w:rsid w:val="00440510"/>
    <w:rsid w:val="004528BC"/>
    <w:rsid w:val="00475753"/>
    <w:rsid w:val="00484CE0"/>
    <w:rsid w:val="004A0B81"/>
    <w:rsid w:val="004B09B4"/>
    <w:rsid w:val="004B17AF"/>
    <w:rsid w:val="004B61B7"/>
    <w:rsid w:val="004C1436"/>
    <w:rsid w:val="004C1FF7"/>
    <w:rsid w:val="004C2C61"/>
    <w:rsid w:val="004D086A"/>
    <w:rsid w:val="004D152B"/>
    <w:rsid w:val="004D5FE8"/>
    <w:rsid w:val="004E36C1"/>
    <w:rsid w:val="004F74A2"/>
    <w:rsid w:val="004F7CC2"/>
    <w:rsid w:val="00513765"/>
    <w:rsid w:val="00513D9A"/>
    <w:rsid w:val="00517E37"/>
    <w:rsid w:val="005214DA"/>
    <w:rsid w:val="00521C8C"/>
    <w:rsid w:val="00522715"/>
    <w:rsid w:val="00523CDE"/>
    <w:rsid w:val="0052437D"/>
    <w:rsid w:val="00526508"/>
    <w:rsid w:val="0053041F"/>
    <w:rsid w:val="0053178E"/>
    <w:rsid w:val="00533A33"/>
    <w:rsid w:val="00535A75"/>
    <w:rsid w:val="005406DB"/>
    <w:rsid w:val="0054718B"/>
    <w:rsid w:val="00551789"/>
    <w:rsid w:val="005550BA"/>
    <w:rsid w:val="0056183F"/>
    <w:rsid w:val="00561BB4"/>
    <w:rsid w:val="00570BF2"/>
    <w:rsid w:val="005723B1"/>
    <w:rsid w:val="00572568"/>
    <w:rsid w:val="00590085"/>
    <w:rsid w:val="00594A84"/>
    <w:rsid w:val="00597668"/>
    <w:rsid w:val="005B1190"/>
    <w:rsid w:val="005B2F9E"/>
    <w:rsid w:val="005C3D2D"/>
    <w:rsid w:val="005D23CB"/>
    <w:rsid w:val="005D4C9D"/>
    <w:rsid w:val="005E1993"/>
    <w:rsid w:val="005E481D"/>
    <w:rsid w:val="005E7588"/>
    <w:rsid w:val="005E7808"/>
    <w:rsid w:val="005F2AFD"/>
    <w:rsid w:val="005F4743"/>
    <w:rsid w:val="00601EB4"/>
    <w:rsid w:val="0060691A"/>
    <w:rsid w:val="00612B64"/>
    <w:rsid w:val="006169E2"/>
    <w:rsid w:val="00616DF1"/>
    <w:rsid w:val="00620479"/>
    <w:rsid w:val="00625F20"/>
    <w:rsid w:val="00626623"/>
    <w:rsid w:val="00627266"/>
    <w:rsid w:val="00632AC8"/>
    <w:rsid w:val="006363D4"/>
    <w:rsid w:val="00636710"/>
    <w:rsid w:val="006451B3"/>
    <w:rsid w:val="006544B7"/>
    <w:rsid w:val="00662C25"/>
    <w:rsid w:val="00664511"/>
    <w:rsid w:val="00665FCF"/>
    <w:rsid w:val="00672988"/>
    <w:rsid w:val="00685627"/>
    <w:rsid w:val="0068774D"/>
    <w:rsid w:val="00691834"/>
    <w:rsid w:val="0069555D"/>
    <w:rsid w:val="00697C87"/>
    <w:rsid w:val="006A0D35"/>
    <w:rsid w:val="006A295C"/>
    <w:rsid w:val="006A2B2D"/>
    <w:rsid w:val="006A5AFE"/>
    <w:rsid w:val="006A60D9"/>
    <w:rsid w:val="006A6675"/>
    <w:rsid w:val="006A7145"/>
    <w:rsid w:val="006B2D72"/>
    <w:rsid w:val="006B2FF5"/>
    <w:rsid w:val="006B3D27"/>
    <w:rsid w:val="006B59C8"/>
    <w:rsid w:val="006C22A9"/>
    <w:rsid w:val="006C2A00"/>
    <w:rsid w:val="006C7A7A"/>
    <w:rsid w:val="006D6BE6"/>
    <w:rsid w:val="006E0C2D"/>
    <w:rsid w:val="006F641E"/>
    <w:rsid w:val="00701C66"/>
    <w:rsid w:val="00703283"/>
    <w:rsid w:val="007071DF"/>
    <w:rsid w:val="00714A63"/>
    <w:rsid w:val="00715EED"/>
    <w:rsid w:val="00720BAB"/>
    <w:rsid w:val="007245B3"/>
    <w:rsid w:val="00725E8A"/>
    <w:rsid w:val="007302D4"/>
    <w:rsid w:val="00731A86"/>
    <w:rsid w:val="00735D42"/>
    <w:rsid w:val="00745BCA"/>
    <w:rsid w:val="007476C8"/>
    <w:rsid w:val="00755B0D"/>
    <w:rsid w:val="007620CE"/>
    <w:rsid w:val="00764D91"/>
    <w:rsid w:val="007705EB"/>
    <w:rsid w:val="00776809"/>
    <w:rsid w:val="00776C79"/>
    <w:rsid w:val="007841E1"/>
    <w:rsid w:val="00784836"/>
    <w:rsid w:val="0078576F"/>
    <w:rsid w:val="007A1B85"/>
    <w:rsid w:val="007A5D97"/>
    <w:rsid w:val="007B2291"/>
    <w:rsid w:val="007C131E"/>
    <w:rsid w:val="007C1FAA"/>
    <w:rsid w:val="007C23A4"/>
    <w:rsid w:val="007C46CC"/>
    <w:rsid w:val="007E2085"/>
    <w:rsid w:val="007E52F7"/>
    <w:rsid w:val="007E6019"/>
    <w:rsid w:val="007F14E0"/>
    <w:rsid w:val="007F1AC8"/>
    <w:rsid w:val="007F3D16"/>
    <w:rsid w:val="007F45B9"/>
    <w:rsid w:val="007F6B4D"/>
    <w:rsid w:val="007F6C9C"/>
    <w:rsid w:val="007F725C"/>
    <w:rsid w:val="00800AA6"/>
    <w:rsid w:val="00806491"/>
    <w:rsid w:val="0081492F"/>
    <w:rsid w:val="00814ECF"/>
    <w:rsid w:val="00816C42"/>
    <w:rsid w:val="0082363C"/>
    <w:rsid w:val="0082634B"/>
    <w:rsid w:val="00826711"/>
    <w:rsid w:val="00827700"/>
    <w:rsid w:val="008318D7"/>
    <w:rsid w:val="00835AFC"/>
    <w:rsid w:val="008433F3"/>
    <w:rsid w:val="008441C5"/>
    <w:rsid w:val="00845D94"/>
    <w:rsid w:val="008511C9"/>
    <w:rsid w:val="008525B0"/>
    <w:rsid w:val="00860F76"/>
    <w:rsid w:val="00865024"/>
    <w:rsid w:val="0086687F"/>
    <w:rsid w:val="008676AD"/>
    <w:rsid w:val="00872774"/>
    <w:rsid w:val="008749F6"/>
    <w:rsid w:val="008854B1"/>
    <w:rsid w:val="008927EE"/>
    <w:rsid w:val="00894577"/>
    <w:rsid w:val="008A0F1D"/>
    <w:rsid w:val="008A2BB7"/>
    <w:rsid w:val="008A37ED"/>
    <w:rsid w:val="008B1B10"/>
    <w:rsid w:val="008B6627"/>
    <w:rsid w:val="008C0E08"/>
    <w:rsid w:val="008C306F"/>
    <w:rsid w:val="008C6A6B"/>
    <w:rsid w:val="008C7AD2"/>
    <w:rsid w:val="008F1B90"/>
    <w:rsid w:val="008F5F21"/>
    <w:rsid w:val="008F790F"/>
    <w:rsid w:val="00906C2B"/>
    <w:rsid w:val="0090791B"/>
    <w:rsid w:val="00914CC1"/>
    <w:rsid w:val="00915D13"/>
    <w:rsid w:val="00920F34"/>
    <w:rsid w:val="00923FC1"/>
    <w:rsid w:val="0092548A"/>
    <w:rsid w:val="00930529"/>
    <w:rsid w:val="00930C5B"/>
    <w:rsid w:val="00950582"/>
    <w:rsid w:val="0096057E"/>
    <w:rsid w:val="009632D0"/>
    <w:rsid w:val="009706B8"/>
    <w:rsid w:val="009807FF"/>
    <w:rsid w:val="00986843"/>
    <w:rsid w:val="009873CB"/>
    <w:rsid w:val="00990BAB"/>
    <w:rsid w:val="00990DA4"/>
    <w:rsid w:val="009928A1"/>
    <w:rsid w:val="00994D63"/>
    <w:rsid w:val="00995BEF"/>
    <w:rsid w:val="009A1142"/>
    <w:rsid w:val="009A60E8"/>
    <w:rsid w:val="009B4961"/>
    <w:rsid w:val="009B7A72"/>
    <w:rsid w:val="009C6583"/>
    <w:rsid w:val="009C6DB0"/>
    <w:rsid w:val="009D1F4E"/>
    <w:rsid w:val="009D2E30"/>
    <w:rsid w:val="009D556A"/>
    <w:rsid w:val="009D664F"/>
    <w:rsid w:val="009E22DD"/>
    <w:rsid w:val="009E7832"/>
    <w:rsid w:val="009E79B2"/>
    <w:rsid w:val="009F042D"/>
    <w:rsid w:val="009F22F6"/>
    <w:rsid w:val="009F3DFB"/>
    <w:rsid w:val="00A01B29"/>
    <w:rsid w:val="00A03572"/>
    <w:rsid w:val="00A06BB0"/>
    <w:rsid w:val="00A06BCA"/>
    <w:rsid w:val="00A1012E"/>
    <w:rsid w:val="00A115EF"/>
    <w:rsid w:val="00A120C0"/>
    <w:rsid w:val="00A12286"/>
    <w:rsid w:val="00A12E6C"/>
    <w:rsid w:val="00A13FA4"/>
    <w:rsid w:val="00A220DC"/>
    <w:rsid w:val="00A2368D"/>
    <w:rsid w:val="00A2623E"/>
    <w:rsid w:val="00A315D4"/>
    <w:rsid w:val="00A34111"/>
    <w:rsid w:val="00A3510F"/>
    <w:rsid w:val="00A3544F"/>
    <w:rsid w:val="00A37E1A"/>
    <w:rsid w:val="00A42EC4"/>
    <w:rsid w:val="00A45BF5"/>
    <w:rsid w:val="00A47FAE"/>
    <w:rsid w:val="00A510F1"/>
    <w:rsid w:val="00A5339E"/>
    <w:rsid w:val="00A53692"/>
    <w:rsid w:val="00A558CD"/>
    <w:rsid w:val="00A55C70"/>
    <w:rsid w:val="00A673B7"/>
    <w:rsid w:val="00A6742C"/>
    <w:rsid w:val="00A71137"/>
    <w:rsid w:val="00A71BEE"/>
    <w:rsid w:val="00A76192"/>
    <w:rsid w:val="00A80831"/>
    <w:rsid w:val="00A86AFA"/>
    <w:rsid w:val="00A879F7"/>
    <w:rsid w:val="00A97C90"/>
    <w:rsid w:val="00AB1235"/>
    <w:rsid w:val="00AB2272"/>
    <w:rsid w:val="00AB4ACA"/>
    <w:rsid w:val="00AB7A29"/>
    <w:rsid w:val="00AC039E"/>
    <w:rsid w:val="00AC2282"/>
    <w:rsid w:val="00AD120A"/>
    <w:rsid w:val="00AD22C4"/>
    <w:rsid w:val="00AD3A96"/>
    <w:rsid w:val="00AD701E"/>
    <w:rsid w:val="00AE2B11"/>
    <w:rsid w:val="00AE43AD"/>
    <w:rsid w:val="00AE67D9"/>
    <w:rsid w:val="00AE703E"/>
    <w:rsid w:val="00AF1C31"/>
    <w:rsid w:val="00B02C2E"/>
    <w:rsid w:val="00B05A9B"/>
    <w:rsid w:val="00B1024F"/>
    <w:rsid w:val="00B163B1"/>
    <w:rsid w:val="00B17BFC"/>
    <w:rsid w:val="00B2465E"/>
    <w:rsid w:val="00B26861"/>
    <w:rsid w:val="00B3245C"/>
    <w:rsid w:val="00B374A2"/>
    <w:rsid w:val="00B42BA2"/>
    <w:rsid w:val="00B44BA2"/>
    <w:rsid w:val="00B577C9"/>
    <w:rsid w:val="00B6231B"/>
    <w:rsid w:val="00B7016C"/>
    <w:rsid w:val="00B71E68"/>
    <w:rsid w:val="00B727D3"/>
    <w:rsid w:val="00B9132E"/>
    <w:rsid w:val="00B9209A"/>
    <w:rsid w:val="00B92F1A"/>
    <w:rsid w:val="00B9749E"/>
    <w:rsid w:val="00BA2298"/>
    <w:rsid w:val="00BA3211"/>
    <w:rsid w:val="00BB29F5"/>
    <w:rsid w:val="00BB6104"/>
    <w:rsid w:val="00BB7EF0"/>
    <w:rsid w:val="00BC65FA"/>
    <w:rsid w:val="00BC7E2D"/>
    <w:rsid w:val="00BD5FB7"/>
    <w:rsid w:val="00BE500E"/>
    <w:rsid w:val="00BE57EE"/>
    <w:rsid w:val="00BF1569"/>
    <w:rsid w:val="00BF5070"/>
    <w:rsid w:val="00C045FE"/>
    <w:rsid w:val="00C057FB"/>
    <w:rsid w:val="00C07D68"/>
    <w:rsid w:val="00C12113"/>
    <w:rsid w:val="00C16FAB"/>
    <w:rsid w:val="00C21FDB"/>
    <w:rsid w:val="00C26137"/>
    <w:rsid w:val="00C26D02"/>
    <w:rsid w:val="00C30110"/>
    <w:rsid w:val="00C321F0"/>
    <w:rsid w:val="00C33702"/>
    <w:rsid w:val="00C42912"/>
    <w:rsid w:val="00C47C8B"/>
    <w:rsid w:val="00C5374C"/>
    <w:rsid w:val="00C54423"/>
    <w:rsid w:val="00C54D1C"/>
    <w:rsid w:val="00C559FB"/>
    <w:rsid w:val="00C56A4C"/>
    <w:rsid w:val="00C7113C"/>
    <w:rsid w:val="00C72082"/>
    <w:rsid w:val="00C760A3"/>
    <w:rsid w:val="00C765EC"/>
    <w:rsid w:val="00C824F3"/>
    <w:rsid w:val="00C84ED5"/>
    <w:rsid w:val="00C85A12"/>
    <w:rsid w:val="00C86453"/>
    <w:rsid w:val="00C86792"/>
    <w:rsid w:val="00C90978"/>
    <w:rsid w:val="00CA1DE9"/>
    <w:rsid w:val="00CA3585"/>
    <w:rsid w:val="00CA3901"/>
    <w:rsid w:val="00CA391E"/>
    <w:rsid w:val="00CA5C4F"/>
    <w:rsid w:val="00CA7144"/>
    <w:rsid w:val="00CB5D52"/>
    <w:rsid w:val="00CC10F8"/>
    <w:rsid w:val="00CC6BD9"/>
    <w:rsid w:val="00CD0853"/>
    <w:rsid w:val="00CE0177"/>
    <w:rsid w:val="00CE2982"/>
    <w:rsid w:val="00CE368B"/>
    <w:rsid w:val="00CE3D21"/>
    <w:rsid w:val="00CE5FB2"/>
    <w:rsid w:val="00CE77AB"/>
    <w:rsid w:val="00CF0A1E"/>
    <w:rsid w:val="00CF5F3A"/>
    <w:rsid w:val="00D02BC8"/>
    <w:rsid w:val="00D07B44"/>
    <w:rsid w:val="00D14C31"/>
    <w:rsid w:val="00D17DB7"/>
    <w:rsid w:val="00D20024"/>
    <w:rsid w:val="00D26E85"/>
    <w:rsid w:val="00D26FAE"/>
    <w:rsid w:val="00D279DF"/>
    <w:rsid w:val="00D30414"/>
    <w:rsid w:val="00D34C36"/>
    <w:rsid w:val="00D430B4"/>
    <w:rsid w:val="00D45387"/>
    <w:rsid w:val="00D45E59"/>
    <w:rsid w:val="00D46F56"/>
    <w:rsid w:val="00D5122C"/>
    <w:rsid w:val="00D544BD"/>
    <w:rsid w:val="00D61F66"/>
    <w:rsid w:val="00D71801"/>
    <w:rsid w:val="00D87818"/>
    <w:rsid w:val="00D90305"/>
    <w:rsid w:val="00D94DF8"/>
    <w:rsid w:val="00D979D1"/>
    <w:rsid w:val="00DA270C"/>
    <w:rsid w:val="00DA4613"/>
    <w:rsid w:val="00DA4C86"/>
    <w:rsid w:val="00DA5006"/>
    <w:rsid w:val="00DA6038"/>
    <w:rsid w:val="00DB29A3"/>
    <w:rsid w:val="00DB3041"/>
    <w:rsid w:val="00DC0704"/>
    <w:rsid w:val="00DC71C8"/>
    <w:rsid w:val="00DD2E37"/>
    <w:rsid w:val="00DD5A70"/>
    <w:rsid w:val="00DE0671"/>
    <w:rsid w:val="00DE114A"/>
    <w:rsid w:val="00DE41C2"/>
    <w:rsid w:val="00DE74DF"/>
    <w:rsid w:val="00DF0CD3"/>
    <w:rsid w:val="00DF37B1"/>
    <w:rsid w:val="00DF647A"/>
    <w:rsid w:val="00E027C2"/>
    <w:rsid w:val="00E02F7A"/>
    <w:rsid w:val="00E0404E"/>
    <w:rsid w:val="00E10AA0"/>
    <w:rsid w:val="00E10E65"/>
    <w:rsid w:val="00E115CA"/>
    <w:rsid w:val="00E16F33"/>
    <w:rsid w:val="00E224C2"/>
    <w:rsid w:val="00E24A45"/>
    <w:rsid w:val="00E2583B"/>
    <w:rsid w:val="00E30968"/>
    <w:rsid w:val="00E4058F"/>
    <w:rsid w:val="00E43CC1"/>
    <w:rsid w:val="00E50BDC"/>
    <w:rsid w:val="00E51480"/>
    <w:rsid w:val="00E52799"/>
    <w:rsid w:val="00E54051"/>
    <w:rsid w:val="00E61E41"/>
    <w:rsid w:val="00E645DB"/>
    <w:rsid w:val="00E66C81"/>
    <w:rsid w:val="00E7535F"/>
    <w:rsid w:val="00E75C35"/>
    <w:rsid w:val="00E76AE5"/>
    <w:rsid w:val="00E76BCB"/>
    <w:rsid w:val="00E827D7"/>
    <w:rsid w:val="00E83280"/>
    <w:rsid w:val="00E84DC6"/>
    <w:rsid w:val="00E9770B"/>
    <w:rsid w:val="00EA2C58"/>
    <w:rsid w:val="00EA53D7"/>
    <w:rsid w:val="00EA7709"/>
    <w:rsid w:val="00EB17BE"/>
    <w:rsid w:val="00EB58DB"/>
    <w:rsid w:val="00EB7C88"/>
    <w:rsid w:val="00EC7A21"/>
    <w:rsid w:val="00EE7035"/>
    <w:rsid w:val="00EF5A04"/>
    <w:rsid w:val="00F029F9"/>
    <w:rsid w:val="00F02FE0"/>
    <w:rsid w:val="00F03832"/>
    <w:rsid w:val="00F05AD1"/>
    <w:rsid w:val="00F062D0"/>
    <w:rsid w:val="00F12C06"/>
    <w:rsid w:val="00F13790"/>
    <w:rsid w:val="00F302A9"/>
    <w:rsid w:val="00F34DFE"/>
    <w:rsid w:val="00F35724"/>
    <w:rsid w:val="00F36389"/>
    <w:rsid w:val="00F4109B"/>
    <w:rsid w:val="00F45E9A"/>
    <w:rsid w:val="00F4638C"/>
    <w:rsid w:val="00F504FD"/>
    <w:rsid w:val="00F532F9"/>
    <w:rsid w:val="00F5509C"/>
    <w:rsid w:val="00F60229"/>
    <w:rsid w:val="00F60405"/>
    <w:rsid w:val="00F612E7"/>
    <w:rsid w:val="00F670AB"/>
    <w:rsid w:val="00F6736B"/>
    <w:rsid w:val="00F70EBB"/>
    <w:rsid w:val="00F7495B"/>
    <w:rsid w:val="00F8313B"/>
    <w:rsid w:val="00F83E11"/>
    <w:rsid w:val="00F84D34"/>
    <w:rsid w:val="00F8766E"/>
    <w:rsid w:val="00F94CA2"/>
    <w:rsid w:val="00FA28E0"/>
    <w:rsid w:val="00FA4CF9"/>
    <w:rsid w:val="00FB1517"/>
    <w:rsid w:val="00FB23DF"/>
    <w:rsid w:val="00FB2FF4"/>
    <w:rsid w:val="00FB765E"/>
    <w:rsid w:val="00FC555C"/>
    <w:rsid w:val="00FE14A8"/>
    <w:rsid w:val="00FE4998"/>
    <w:rsid w:val="00FE5AE0"/>
    <w:rsid w:val="00FE7232"/>
    <w:rsid w:val="00FE78C7"/>
    <w:rsid w:val="00FF17D8"/>
    <w:rsid w:val="00FF354C"/>
    <w:rsid w:val="00FF4A71"/>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81C2E"/>
  <w15:chartTrackingRefBased/>
  <w15:docId w15:val="{E27876A4-D882-442E-B0A6-2030815C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09"/>
    <w:pPr>
      <w:spacing w:after="0" w:line="240" w:lineRule="auto"/>
    </w:pPr>
  </w:style>
  <w:style w:type="paragraph" w:styleId="Heading1">
    <w:name w:val="heading 1"/>
    <w:basedOn w:val="Normal"/>
    <w:next w:val="Normal"/>
    <w:link w:val="Heading1Char"/>
    <w:uiPriority w:val="9"/>
    <w:qFormat/>
    <w:rsid w:val="001D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09"/>
    <w:rPr>
      <w:rFonts w:eastAsiaTheme="majorEastAsia" w:cstheme="majorBidi"/>
      <w:color w:val="272727" w:themeColor="text1" w:themeTint="D8"/>
    </w:rPr>
  </w:style>
  <w:style w:type="paragraph" w:styleId="Title">
    <w:name w:val="Title"/>
    <w:basedOn w:val="Normal"/>
    <w:next w:val="Normal"/>
    <w:link w:val="TitleChar"/>
    <w:uiPriority w:val="10"/>
    <w:qFormat/>
    <w:rsid w:val="001D4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09"/>
    <w:pPr>
      <w:spacing w:before="160"/>
      <w:jc w:val="center"/>
    </w:pPr>
    <w:rPr>
      <w:i/>
      <w:iCs/>
      <w:color w:val="404040" w:themeColor="text1" w:themeTint="BF"/>
    </w:rPr>
  </w:style>
  <w:style w:type="character" w:customStyle="1" w:styleId="QuoteChar">
    <w:name w:val="Quote Char"/>
    <w:basedOn w:val="DefaultParagraphFont"/>
    <w:link w:val="Quote"/>
    <w:uiPriority w:val="29"/>
    <w:rsid w:val="001D4509"/>
    <w:rPr>
      <w:i/>
      <w:iCs/>
      <w:color w:val="404040" w:themeColor="text1" w:themeTint="BF"/>
    </w:rPr>
  </w:style>
  <w:style w:type="paragraph" w:styleId="ListParagraph">
    <w:name w:val="List Paragraph"/>
    <w:basedOn w:val="Normal"/>
    <w:uiPriority w:val="34"/>
    <w:qFormat/>
    <w:rsid w:val="001D4509"/>
    <w:pPr>
      <w:ind w:left="720"/>
      <w:contextualSpacing/>
    </w:pPr>
  </w:style>
  <w:style w:type="character" w:styleId="IntenseEmphasis">
    <w:name w:val="Intense Emphasis"/>
    <w:basedOn w:val="DefaultParagraphFont"/>
    <w:uiPriority w:val="21"/>
    <w:qFormat/>
    <w:rsid w:val="001D4509"/>
    <w:rPr>
      <w:i/>
      <w:iCs/>
      <w:color w:val="0F4761" w:themeColor="accent1" w:themeShade="BF"/>
    </w:rPr>
  </w:style>
  <w:style w:type="paragraph" w:styleId="IntenseQuote">
    <w:name w:val="Intense Quote"/>
    <w:basedOn w:val="Normal"/>
    <w:next w:val="Normal"/>
    <w:link w:val="IntenseQuoteChar"/>
    <w:uiPriority w:val="30"/>
    <w:qFormat/>
    <w:rsid w:val="001D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09"/>
    <w:rPr>
      <w:i/>
      <w:iCs/>
      <w:color w:val="0F4761" w:themeColor="accent1" w:themeShade="BF"/>
    </w:rPr>
  </w:style>
  <w:style w:type="character" w:styleId="IntenseReference">
    <w:name w:val="Intense Reference"/>
    <w:basedOn w:val="DefaultParagraphFont"/>
    <w:uiPriority w:val="32"/>
    <w:qFormat/>
    <w:rsid w:val="001D4509"/>
    <w:rPr>
      <w:b/>
      <w:bCs/>
      <w:smallCaps/>
      <w:color w:val="0F4761" w:themeColor="accent1" w:themeShade="BF"/>
      <w:spacing w:val="5"/>
    </w:rPr>
  </w:style>
  <w:style w:type="paragraph" w:styleId="PlainText">
    <w:name w:val="Plain Text"/>
    <w:basedOn w:val="Normal"/>
    <w:link w:val="PlainTextChar"/>
    <w:uiPriority w:val="99"/>
    <w:unhideWhenUsed/>
    <w:rsid w:val="002C0BB4"/>
    <w:rPr>
      <w:rFonts w:ascii="Calibri" w:hAnsi="Calibri" w:cs="Calibri"/>
      <w:kern w:val="0"/>
      <w:lang w:eastAsia="en-GB"/>
    </w:rPr>
  </w:style>
  <w:style w:type="character" w:customStyle="1" w:styleId="PlainTextChar">
    <w:name w:val="Plain Text Char"/>
    <w:basedOn w:val="DefaultParagraphFont"/>
    <w:link w:val="PlainText"/>
    <w:uiPriority w:val="99"/>
    <w:rsid w:val="002C0BB4"/>
    <w:rPr>
      <w:rFonts w:ascii="Calibri" w:hAnsi="Calibri" w:cs="Calibri"/>
      <w:kern w:val="0"/>
      <w:lang w:eastAsia="en-GB"/>
    </w:rPr>
  </w:style>
  <w:style w:type="paragraph" w:customStyle="1" w:styleId="paragraph">
    <w:name w:val="paragraph"/>
    <w:basedOn w:val="Normal"/>
    <w:rsid w:val="002C0BB4"/>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2C0BB4"/>
  </w:style>
  <w:style w:type="paragraph" w:customStyle="1" w:styleId="Default">
    <w:name w:val="Default"/>
    <w:rsid w:val="00A220DC"/>
    <w:pPr>
      <w:autoSpaceDE w:val="0"/>
      <w:autoSpaceDN w:val="0"/>
      <w:adjustRightInd w:val="0"/>
      <w:spacing w:after="0" w:line="240" w:lineRule="auto"/>
    </w:pPr>
    <w:rPr>
      <w:rFonts w:ascii="Trebuchet MS" w:hAnsi="Trebuchet MS" w:cs="Trebuchet MS"/>
      <w:color w:val="000000"/>
      <w:kern w:val="0"/>
      <w:sz w:val="24"/>
      <w:szCs w:val="24"/>
    </w:rPr>
  </w:style>
  <w:style w:type="character" w:customStyle="1" w:styleId="eop">
    <w:name w:val="eop"/>
    <w:basedOn w:val="DefaultParagraphFont"/>
    <w:rsid w:val="00127BE8"/>
  </w:style>
  <w:style w:type="paragraph" w:customStyle="1" w:styleId="css-1ypebu9">
    <w:name w:val="css-1ypebu9"/>
    <w:basedOn w:val="Normal"/>
    <w:rsid w:val="00EB58DB"/>
    <w:pPr>
      <w:spacing w:before="100" w:beforeAutospacing="1" w:after="100" w:afterAutospacing="1"/>
    </w:pPr>
    <w:rPr>
      <w:rFonts w:ascii="Times New Roman" w:eastAsia="Times New Roman" w:hAnsi="Times New Roman" w:cs="Times New Roman"/>
      <w:kern w:val="0"/>
      <w:sz w:val="24"/>
      <w:szCs w:val="24"/>
      <w:lang w:eastAsia="en-GB"/>
    </w:rPr>
  </w:style>
  <w:style w:type="paragraph" w:styleId="Revision">
    <w:name w:val="Revision"/>
    <w:hidden/>
    <w:uiPriority w:val="99"/>
    <w:semiHidden/>
    <w:rsid w:val="00223ECB"/>
    <w:pPr>
      <w:spacing w:after="0" w:line="240" w:lineRule="auto"/>
    </w:pPr>
  </w:style>
  <w:style w:type="character" w:styleId="CommentReference">
    <w:name w:val="annotation reference"/>
    <w:basedOn w:val="DefaultParagraphFont"/>
    <w:uiPriority w:val="99"/>
    <w:semiHidden/>
    <w:unhideWhenUsed/>
    <w:rsid w:val="007F14E0"/>
    <w:rPr>
      <w:sz w:val="16"/>
      <w:szCs w:val="16"/>
    </w:rPr>
  </w:style>
  <w:style w:type="paragraph" w:styleId="CommentText">
    <w:name w:val="annotation text"/>
    <w:basedOn w:val="Normal"/>
    <w:link w:val="CommentTextChar"/>
    <w:uiPriority w:val="99"/>
    <w:unhideWhenUsed/>
    <w:rsid w:val="007F14E0"/>
    <w:rPr>
      <w:sz w:val="20"/>
      <w:szCs w:val="20"/>
    </w:rPr>
  </w:style>
  <w:style w:type="character" w:customStyle="1" w:styleId="CommentTextChar">
    <w:name w:val="Comment Text Char"/>
    <w:basedOn w:val="DefaultParagraphFont"/>
    <w:link w:val="CommentText"/>
    <w:uiPriority w:val="99"/>
    <w:rsid w:val="007F14E0"/>
    <w:rPr>
      <w:sz w:val="20"/>
      <w:szCs w:val="20"/>
    </w:rPr>
  </w:style>
  <w:style w:type="paragraph" w:styleId="CommentSubject">
    <w:name w:val="annotation subject"/>
    <w:basedOn w:val="CommentText"/>
    <w:next w:val="CommentText"/>
    <w:link w:val="CommentSubjectChar"/>
    <w:uiPriority w:val="99"/>
    <w:semiHidden/>
    <w:unhideWhenUsed/>
    <w:rsid w:val="007F14E0"/>
    <w:rPr>
      <w:b/>
      <w:bCs/>
    </w:rPr>
  </w:style>
  <w:style w:type="character" w:customStyle="1" w:styleId="CommentSubjectChar">
    <w:name w:val="Comment Subject Char"/>
    <w:basedOn w:val="CommentTextChar"/>
    <w:link w:val="CommentSubject"/>
    <w:uiPriority w:val="99"/>
    <w:semiHidden/>
    <w:rsid w:val="007F14E0"/>
    <w:rPr>
      <w:b/>
      <w:bCs/>
      <w:sz w:val="20"/>
      <w:szCs w:val="20"/>
    </w:rPr>
  </w:style>
  <w:style w:type="paragraph" w:styleId="Header">
    <w:name w:val="header"/>
    <w:basedOn w:val="Normal"/>
    <w:link w:val="HeaderChar"/>
    <w:uiPriority w:val="99"/>
    <w:unhideWhenUsed/>
    <w:rsid w:val="00A3544F"/>
    <w:pPr>
      <w:tabs>
        <w:tab w:val="center" w:pos="4513"/>
        <w:tab w:val="right" w:pos="9026"/>
      </w:tabs>
    </w:pPr>
  </w:style>
  <w:style w:type="character" w:customStyle="1" w:styleId="HeaderChar">
    <w:name w:val="Header Char"/>
    <w:basedOn w:val="DefaultParagraphFont"/>
    <w:link w:val="Header"/>
    <w:uiPriority w:val="99"/>
    <w:rsid w:val="00A3544F"/>
  </w:style>
  <w:style w:type="paragraph" w:styleId="Footer">
    <w:name w:val="footer"/>
    <w:basedOn w:val="Normal"/>
    <w:link w:val="FooterChar"/>
    <w:uiPriority w:val="99"/>
    <w:unhideWhenUsed/>
    <w:rsid w:val="00A3544F"/>
    <w:pPr>
      <w:tabs>
        <w:tab w:val="center" w:pos="4513"/>
        <w:tab w:val="right" w:pos="9026"/>
      </w:tabs>
    </w:pPr>
  </w:style>
  <w:style w:type="character" w:customStyle="1" w:styleId="FooterChar">
    <w:name w:val="Footer Char"/>
    <w:basedOn w:val="DefaultParagraphFont"/>
    <w:link w:val="Footer"/>
    <w:uiPriority w:val="99"/>
    <w:rsid w:val="00A3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767">
      <w:bodyDiv w:val="1"/>
      <w:marLeft w:val="0"/>
      <w:marRight w:val="0"/>
      <w:marTop w:val="0"/>
      <w:marBottom w:val="0"/>
      <w:divBdr>
        <w:top w:val="none" w:sz="0" w:space="0" w:color="auto"/>
        <w:left w:val="none" w:sz="0" w:space="0" w:color="auto"/>
        <w:bottom w:val="none" w:sz="0" w:space="0" w:color="auto"/>
        <w:right w:val="none" w:sz="0" w:space="0" w:color="auto"/>
      </w:divBdr>
    </w:div>
    <w:div w:id="121388811">
      <w:bodyDiv w:val="1"/>
      <w:marLeft w:val="0"/>
      <w:marRight w:val="0"/>
      <w:marTop w:val="0"/>
      <w:marBottom w:val="0"/>
      <w:divBdr>
        <w:top w:val="none" w:sz="0" w:space="0" w:color="auto"/>
        <w:left w:val="none" w:sz="0" w:space="0" w:color="auto"/>
        <w:bottom w:val="none" w:sz="0" w:space="0" w:color="auto"/>
        <w:right w:val="none" w:sz="0" w:space="0" w:color="auto"/>
      </w:divBdr>
    </w:div>
    <w:div w:id="200869855">
      <w:bodyDiv w:val="1"/>
      <w:marLeft w:val="0"/>
      <w:marRight w:val="0"/>
      <w:marTop w:val="0"/>
      <w:marBottom w:val="0"/>
      <w:divBdr>
        <w:top w:val="none" w:sz="0" w:space="0" w:color="auto"/>
        <w:left w:val="none" w:sz="0" w:space="0" w:color="auto"/>
        <w:bottom w:val="none" w:sz="0" w:space="0" w:color="auto"/>
        <w:right w:val="none" w:sz="0" w:space="0" w:color="auto"/>
      </w:divBdr>
    </w:div>
    <w:div w:id="822477322">
      <w:bodyDiv w:val="1"/>
      <w:marLeft w:val="0"/>
      <w:marRight w:val="0"/>
      <w:marTop w:val="0"/>
      <w:marBottom w:val="0"/>
      <w:divBdr>
        <w:top w:val="none" w:sz="0" w:space="0" w:color="auto"/>
        <w:left w:val="none" w:sz="0" w:space="0" w:color="auto"/>
        <w:bottom w:val="none" w:sz="0" w:space="0" w:color="auto"/>
        <w:right w:val="none" w:sz="0" w:space="0" w:color="auto"/>
      </w:divBdr>
    </w:div>
    <w:div w:id="918254423">
      <w:bodyDiv w:val="1"/>
      <w:marLeft w:val="0"/>
      <w:marRight w:val="0"/>
      <w:marTop w:val="0"/>
      <w:marBottom w:val="0"/>
      <w:divBdr>
        <w:top w:val="none" w:sz="0" w:space="0" w:color="auto"/>
        <w:left w:val="none" w:sz="0" w:space="0" w:color="auto"/>
        <w:bottom w:val="none" w:sz="0" w:space="0" w:color="auto"/>
        <w:right w:val="none" w:sz="0" w:space="0" w:color="auto"/>
      </w:divBdr>
    </w:div>
    <w:div w:id="1162814881">
      <w:bodyDiv w:val="1"/>
      <w:marLeft w:val="0"/>
      <w:marRight w:val="0"/>
      <w:marTop w:val="0"/>
      <w:marBottom w:val="0"/>
      <w:divBdr>
        <w:top w:val="none" w:sz="0" w:space="0" w:color="auto"/>
        <w:left w:val="none" w:sz="0" w:space="0" w:color="auto"/>
        <w:bottom w:val="none" w:sz="0" w:space="0" w:color="auto"/>
        <w:right w:val="none" w:sz="0" w:space="0" w:color="auto"/>
      </w:divBdr>
    </w:div>
    <w:div w:id="1220551914">
      <w:bodyDiv w:val="1"/>
      <w:marLeft w:val="0"/>
      <w:marRight w:val="0"/>
      <w:marTop w:val="0"/>
      <w:marBottom w:val="0"/>
      <w:divBdr>
        <w:top w:val="none" w:sz="0" w:space="0" w:color="auto"/>
        <w:left w:val="none" w:sz="0" w:space="0" w:color="auto"/>
        <w:bottom w:val="none" w:sz="0" w:space="0" w:color="auto"/>
        <w:right w:val="none" w:sz="0" w:space="0" w:color="auto"/>
      </w:divBdr>
    </w:div>
    <w:div w:id="1306079306">
      <w:bodyDiv w:val="1"/>
      <w:marLeft w:val="0"/>
      <w:marRight w:val="0"/>
      <w:marTop w:val="0"/>
      <w:marBottom w:val="0"/>
      <w:divBdr>
        <w:top w:val="none" w:sz="0" w:space="0" w:color="auto"/>
        <w:left w:val="none" w:sz="0" w:space="0" w:color="auto"/>
        <w:bottom w:val="none" w:sz="0" w:space="0" w:color="auto"/>
        <w:right w:val="none" w:sz="0" w:space="0" w:color="auto"/>
      </w:divBdr>
    </w:div>
    <w:div w:id="1328551818">
      <w:bodyDiv w:val="1"/>
      <w:marLeft w:val="0"/>
      <w:marRight w:val="0"/>
      <w:marTop w:val="0"/>
      <w:marBottom w:val="0"/>
      <w:divBdr>
        <w:top w:val="none" w:sz="0" w:space="0" w:color="auto"/>
        <w:left w:val="none" w:sz="0" w:space="0" w:color="auto"/>
        <w:bottom w:val="none" w:sz="0" w:space="0" w:color="auto"/>
        <w:right w:val="none" w:sz="0" w:space="0" w:color="auto"/>
      </w:divBdr>
    </w:div>
    <w:div w:id="1400515905">
      <w:bodyDiv w:val="1"/>
      <w:marLeft w:val="0"/>
      <w:marRight w:val="0"/>
      <w:marTop w:val="0"/>
      <w:marBottom w:val="0"/>
      <w:divBdr>
        <w:top w:val="none" w:sz="0" w:space="0" w:color="auto"/>
        <w:left w:val="none" w:sz="0" w:space="0" w:color="auto"/>
        <w:bottom w:val="none" w:sz="0" w:space="0" w:color="auto"/>
        <w:right w:val="none" w:sz="0" w:space="0" w:color="auto"/>
      </w:divBdr>
    </w:div>
    <w:div w:id="1451702566">
      <w:bodyDiv w:val="1"/>
      <w:marLeft w:val="0"/>
      <w:marRight w:val="0"/>
      <w:marTop w:val="0"/>
      <w:marBottom w:val="0"/>
      <w:divBdr>
        <w:top w:val="none" w:sz="0" w:space="0" w:color="auto"/>
        <w:left w:val="none" w:sz="0" w:space="0" w:color="auto"/>
        <w:bottom w:val="none" w:sz="0" w:space="0" w:color="auto"/>
        <w:right w:val="none" w:sz="0" w:space="0" w:color="auto"/>
      </w:divBdr>
    </w:div>
    <w:div w:id="1493907590">
      <w:bodyDiv w:val="1"/>
      <w:marLeft w:val="0"/>
      <w:marRight w:val="0"/>
      <w:marTop w:val="0"/>
      <w:marBottom w:val="0"/>
      <w:divBdr>
        <w:top w:val="none" w:sz="0" w:space="0" w:color="auto"/>
        <w:left w:val="none" w:sz="0" w:space="0" w:color="auto"/>
        <w:bottom w:val="none" w:sz="0" w:space="0" w:color="auto"/>
        <w:right w:val="none" w:sz="0" w:space="0" w:color="auto"/>
      </w:divBdr>
    </w:div>
    <w:div w:id="1607618816">
      <w:bodyDiv w:val="1"/>
      <w:marLeft w:val="0"/>
      <w:marRight w:val="0"/>
      <w:marTop w:val="0"/>
      <w:marBottom w:val="0"/>
      <w:divBdr>
        <w:top w:val="none" w:sz="0" w:space="0" w:color="auto"/>
        <w:left w:val="none" w:sz="0" w:space="0" w:color="auto"/>
        <w:bottom w:val="none" w:sz="0" w:space="0" w:color="auto"/>
        <w:right w:val="none" w:sz="0" w:space="0" w:color="auto"/>
      </w:divBdr>
    </w:div>
    <w:div w:id="1638029910">
      <w:bodyDiv w:val="1"/>
      <w:marLeft w:val="0"/>
      <w:marRight w:val="0"/>
      <w:marTop w:val="0"/>
      <w:marBottom w:val="0"/>
      <w:divBdr>
        <w:top w:val="none" w:sz="0" w:space="0" w:color="auto"/>
        <w:left w:val="none" w:sz="0" w:space="0" w:color="auto"/>
        <w:bottom w:val="none" w:sz="0" w:space="0" w:color="auto"/>
        <w:right w:val="none" w:sz="0" w:space="0" w:color="auto"/>
      </w:divBdr>
    </w:div>
    <w:div w:id="1644459423">
      <w:bodyDiv w:val="1"/>
      <w:marLeft w:val="0"/>
      <w:marRight w:val="0"/>
      <w:marTop w:val="0"/>
      <w:marBottom w:val="0"/>
      <w:divBdr>
        <w:top w:val="none" w:sz="0" w:space="0" w:color="auto"/>
        <w:left w:val="none" w:sz="0" w:space="0" w:color="auto"/>
        <w:bottom w:val="none" w:sz="0" w:space="0" w:color="auto"/>
        <w:right w:val="none" w:sz="0" w:space="0" w:color="auto"/>
      </w:divBdr>
    </w:div>
    <w:div w:id="1645692865">
      <w:bodyDiv w:val="1"/>
      <w:marLeft w:val="0"/>
      <w:marRight w:val="0"/>
      <w:marTop w:val="0"/>
      <w:marBottom w:val="0"/>
      <w:divBdr>
        <w:top w:val="none" w:sz="0" w:space="0" w:color="auto"/>
        <w:left w:val="none" w:sz="0" w:space="0" w:color="auto"/>
        <w:bottom w:val="none" w:sz="0" w:space="0" w:color="auto"/>
        <w:right w:val="none" w:sz="0" w:space="0" w:color="auto"/>
      </w:divBdr>
      <w:divsChild>
        <w:div w:id="472017046">
          <w:marLeft w:val="288"/>
          <w:marRight w:val="0"/>
          <w:marTop w:val="40"/>
          <w:marBottom w:val="40"/>
          <w:divBdr>
            <w:top w:val="none" w:sz="0" w:space="0" w:color="auto"/>
            <w:left w:val="none" w:sz="0" w:space="0" w:color="auto"/>
            <w:bottom w:val="none" w:sz="0" w:space="0" w:color="auto"/>
            <w:right w:val="none" w:sz="0" w:space="0" w:color="auto"/>
          </w:divBdr>
        </w:div>
      </w:divsChild>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870026527">
      <w:bodyDiv w:val="1"/>
      <w:marLeft w:val="0"/>
      <w:marRight w:val="0"/>
      <w:marTop w:val="0"/>
      <w:marBottom w:val="0"/>
      <w:divBdr>
        <w:top w:val="none" w:sz="0" w:space="0" w:color="auto"/>
        <w:left w:val="none" w:sz="0" w:space="0" w:color="auto"/>
        <w:bottom w:val="none" w:sz="0" w:space="0" w:color="auto"/>
        <w:right w:val="none" w:sz="0" w:space="0" w:color="auto"/>
      </w:divBdr>
    </w:div>
    <w:div w:id="1877808731">
      <w:bodyDiv w:val="1"/>
      <w:marLeft w:val="0"/>
      <w:marRight w:val="0"/>
      <w:marTop w:val="0"/>
      <w:marBottom w:val="0"/>
      <w:divBdr>
        <w:top w:val="none" w:sz="0" w:space="0" w:color="auto"/>
        <w:left w:val="none" w:sz="0" w:space="0" w:color="auto"/>
        <w:bottom w:val="none" w:sz="0" w:space="0" w:color="auto"/>
        <w:right w:val="none" w:sz="0" w:space="0" w:color="auto"/>
      </w:divBdr>
    </w:div>
    <w:div w:id="20822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428200a-11e1-4933-ac9b-8c9fb0a8df5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85785EF191747B9B3565EB50D088D" ma:contentTypeVersion="20" ma:contentTypeDescription="Create a new document." ma:contentTypeScope="" ma:versionID="ebf8288ba63baf543942f0b16d6c35a6">
  <xsd:schema xmlns:xsd="http://www.w3.org/2001/XMLSchema" xmlns:xs="http://www.w3.org/2001/XMLSchema" xmlns:p="http://schemas.microsoft.com/office/2006/metadata/properties" xmlns:ns1="http://schemas.microsoft.com/sharepoint/v3" xmlns:ns3="e684c393-1695-4e7d-a1af-0313b548b5bf" xmlns:ns4="1428200a-11e1-4933-ac9b-8c9fb0a8df50" targetNamespace="http://schemas.microsoft.com/office/2006/metadata/properties" ma:root="true" ma:fieldsID="eb0ca53acb176394e9da72ae7aae94e9" ns1:_="" ns3:_="" ns4:_="">
    <xsd:import namespace="http://schemas.microsoft.com/sharepoint/v3"/>
    <xsd:import namespace="e684c393-1695-4e7d-a1af-0313b548b5bf"/>
    <xsd:import namespace="1428200a-11e1-4933-ac9b-8c9fb0a8df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c393-1695-4e7d-a1af-0313b548b5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200a-11e1-4933-ac9b-8c9fb0a8df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56B25-9457-41CF-8DC1-24C86EC1B24B}">
  <ds:schemaRefs>
    <ds:schemaRef ds:uri="http://schemas.microsoft.com/office/2006/metadata/properties"/>
    <ds:schemaRef ds:uri="http://schemas.microsoft.com/office/infopath/2007/PartnerControls"/>
    <ds:schemaRef ds:uri="http://schemas.microsoft.com/sharepoint/v3"/>
    <ds:schemaRef ds:uri="1428200a-11e1-4933-ac9b-8c9fb0a8df50"/>
  </ds:schemaRefs>
</ds:datastoreItem>
</file>

<file path=customXml/itemProps2.xml><?xml version="1.0" encoding="utf-8"?>
<ds:datastoreItem xmlns:ds="http://schemas.openxmlformats.org/officeDocument/2006/customXml" ds:itemID="{1598D4B1-E8A3-4A95-BCA4-ADD7D8A45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4c393-1695-4e7d-a1af-0313b548b5bf"/>
    <ds:schemaRef ds:uri="1428200a-11e1-4933-ac9b-8c9fb0a8d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36F0F-A0DF-4195-8E30-4FB5C63D4DD5}">
  <ds:schemaRefs>
    <ds:schemaRef ds:uri="http://schemas.microsoft.com/sharepoint/v3/contenttype/forms"/>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2024-09-10T07:36:00Z</cp:lastPrinted>
  <dcterms:created xsi:type="dcterms:W3CDTF">2024-09-11T09:43:00Z</dcterms:created>
  <dcterms:modified xsi:type="dcterms:W3CDTF">2024-09-11T09:43:00Z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c50533ec-c1f6-4c64-aab6-1abd670c701f</vt:lpwstr>
  </property>
  <property fmtid="{D5CDD505-2E9C-101B-9397-08002B2CF9AE}" pid="3" name="ContentTypeId">
    <vt:lpwstr>0x01010063685785EF191747B9B3565EB50D088D</vt:lpwstr>
  </property>
</Properties>
</file>