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4B22" w14:textId="77777777" w:rsidR="001407F9" w:rsidRPr="002D1649" w:rsidRDefault="001407F9" w:rsidP="001407F9">
      <w:pPr>
        <w:rPr>
          <w:rFonts w:ascii="Roboto" w:hAnsi="Roboto" w:cstheme="minorHAnsi"/>
          <w:sz w:val="28"/>
          <w:szCs w:val="28"/>
        </w:rPr>
      </w:pPr>
      <w:r w:rsidRPr="002D1649">
        <w:rPr>
          <w:rFonts w:ascii="Roboto" w:hAnsi="Roboto" w:cstheme="minorHAnsi"/>
          <w:sz w:val="28"/>
          <w:szCs w:val="28"/>
        </w:rPr>
        <w:t>For Immediate Release</w:t>
      </w:r>
    </w:p>
    <w:p w14:paraId="2DA22727" w14:textId="2D8D0385" w:rsidR="001407F9" w:rsidRPr="002D1649" w:rsidRDefault="009C0759" w:rsidP="001407F9">
      <w:pPr>
        <w:spacing w:after="120" w:line="264" w:lineRule="auto"/>
        <w:rPr>
          <w:rFonts w:ascii="Roboto" w:hAnsi="Roboto" w:cstheme="minorHAnsi"/>
          <w:sz w:val="28"/>
          <w:szCs w:val="28"/>
        </w:rPr>
      </w:pPr>
      <w:r>
        <w:rPr>
          <w:rFonts w:ascii="Roboto" w:hAnsi="Roboto" w:cstheme="minorHAnsi"/>
          <w:sz w:val="28"/>
          <w:szCs w:val="28"/>
        </w:rPr>
        <w:t>Wednesday</w:t>
      </w:r>
      <w:r w:rsidR="001407F9" w:rsidRPr="002D1649">
        <w:rPr>
          <w:rFonts w:ascii="Roboto" w:hAnsi="Roboto" w:cstheme="minorHAnsi"/>
          <w:sz w:val="28"/>
          <w:szCs w:val="28"/>
        </w:rPr>
        <w:t>, 1</w:t>
      </w:r>
      <w:r>
        <w:rPr>
          <w:rFonts w:ascii="Roboto" w:hAnsi="Roboto" w:cstheme="minorHAnsi"/>
          <w:sz w:val="28"/>
          <w:szCs w:val="28"/>
        </w:rPr>
        <w:t>7</w:t>
      </w:r>
      <w:r w:rsidR="001407F9" w:rsidRPr="002D1649">
        <w:rPr>
          <w:rFonts w:ascii="Roboto" w:hAnsi="Roboto" w:cstheme="minorHAnsi"/>
          <w:sz w:val="28"/>
          <w:szCs w:val="28"/>
        </w:rPr>
        <w:t xml:space="preserve"> May 202</w:t>
      </w:r>
      <w:r>
        <w:rPr>
          <w:rFonts w:ascii="Roboto" w:hAnsi="Roboto" w:cstheme="minorHAnsi"/>
          <w:sz w:val="28"/>
          <w:szCs w:val="28"/>
        </w:rPr>
        <w:t>3</w:t>
      </w:r>
      <w:r w:rsidR="001407F9" w:rsidRPr="002D1649">
        <w:rPr>
          <w:rFonts w:ascii="Roboto" w:hAnsi="Roboto" w:cstheme="minorHAnsi"/>
          <w:sz w:val="28"/>
          <w:szCs w:val="28"/>
        </w:rPr>
        <w:t>, Cape Town</w:t>
      </w:r>
    </w:p>
    <w:p w14:paraId="068FCB7D" w14:textId="6420EAE6" w:rsidR="008C0F6D" w:rsidRPr="002D1649" w:rsidRDefault="00C80C7F" w:rsidP="00CE6ED3">
      <w:pPr>
        <w:spacing w:after="120" w:line="264" w:lineRule="auto"/>
        <w:rPr>
          <w:rFonts w:ascii="Roboto" w:hAnsi="Roboto" w:cstheme="minorHAnsi"/>
          <w:b/>
          <w:bCs/>
          <w:sz w:val="28"/>
          <w:szCs w:val="28"/>
        </w:rPr>
      </w:pPr>
      <w:r w:rsidRPr="002D1649">
        <w:rPr>
          <w:rFonts w:ascii="Roboto" w:hAnsi="Roboto" w:cstheme="minorHAnsi"/>
          <w:b/>
          <w:bCs/>
          <w:sz w:val="28"/>
          <w:szCs w:val="28"/>
        </w:rPr>
        <w:t xml:space="preserve">MSCI South Africa Green Annual Property Index </w:t>
      </w:r>
      <w:r w:rsidR="008C0F6D" w:rsidRPr="002D1649">
        <w:rPr>
          <w:rFonts w:ascii="Roboto" w:hAnsi="Roboto" w:cstheme="minorHAnsi"/>
          <w:b/>
          <w:bCs/>
          <w:sz w:val="28"/>
          <w:szCs w:val="28"/>
        </w:rPr>
        <w:t>202</w:t>
      </w:r>
      <w:r w:rsidR="00712E13" w:rsidRPr="002D1649">
        <w:rPr>
          <w:rFonts w:ascii="Roboto" w:hAnsi="Roboto" w:cstheme="minorHAnsi"/>
          <w:b/>
          <w:bCs/>
          <w:sz w:val="28"/>
          <w:szCs w:val="28"/>
        </w:rPr>
        <w:t>2</w:t>
      </w:r>
    </w:p>
    <w:p w14:paraId="76AB3C79" w14:textId="77777777" w:rsidR="008C0F6D" w:rsidRDefault="008C0F6D" w:rsidP="00CE6ED3">
      <w:pPr>
        <w:spacing w:after="120" w:line="264" w:lineRule="auto"/>
        <w:rPr>
          <w:rFonts w:ascii="Roboto" w:hAnsi="Roboto" w:cstheme="minorHAnsi"/>
          <w:b/>
          <w:bCs/>
        </w:rPr>
      </w:pPr>
    </w:p>
    <w:p w14:paraId="4A524AB4" w14:textId="5187C4A1" w:rsidR="000C50FF" w:rsidRPr="00A91E18" w:rsidRDefault="00D55270" w:rsidP="000C50FF">
      <w:pPr>
        <w:spacing w:after="120" w:line="264" w:lineRule="auto"/>
        <w:jc w:val="both"/>
        <w:rPr>
          <w:rFonts w:ascii="Roboto" w:hAnsi="Roboto" w:cstheme="minorHAnsi"/>
          <w:sz w:val="22"/>
          <w:szCs w:val="22"/>
        </w:rPr>
      </w:pPr>
      <w:r w:rsidRPr="00A91E18">
        <w:rPr>
          <w:rFonts w:ascii="Roboto" w:hAnsi="Roboto" w:cstheme="minorHAnsi"/>
          <w:sz w:val="22"/>
          <w:szCs w:val="22"/>
        </w:rPr>
        <w:t>The MSCI South Africa Green Annual Property Index</w:t>
      </w:r>
      <w:r w:rsidR="00B161FE" w:rsidRPr="00A91E18">
        <w:rPr>
          <w:rFonts w:ascii="Roboto" w:hAnsi="Roboto" w:cstheme="minorHAnsi"/>
          <w:sz w:val="22"/>
          <w:szCs w:val="22"/>
        </w:rPr>
        <w:t xml:space="preserve"> for 2022</w:t>
      </w:r>
      <w:r w:rsidRPr="00A91E18">
        <w:rPr>
          <w:rFonts w:ascii="Roboto" w:hAnsi="Roboto" w:cstheme="minorHAnsi"/>
          <w:sz w:val="22"/>
          <w:szCs w:val="22"/>
        </w:rPr>
        <w:t xml:space="preserve"> </w:t>
      </w:r>
      <w:r w:rsidR="009033D1" w:rsidRPr="00A91E18">
        <w:rPr>
          <w:rFonts w:ascii="Roboto" w:hAnsi="Roboto" w:cstheme="minorHAnsi"/>
          <w:sz w:val="22"/>
          <w:szCs w:val="22"/>
        </w:rPr>
        <w:t>continue</w:t>
      </w:r>
      <w:r w:rsidR="00B161FE" w:rsidRPr="00A91E18">
        <w:rPr>
          <w:rFonts w:ascii="Roboto" w:hAnsi="Roboto" w:cstheme="minorHAnsi"/>
          <w:sz w:val="22"/>
          <w:szCs w:val="22"/>
        </w:rPr>
        <w:t>d</w:t>
      </w:r>
      <w:r w:rsidR="009033D1" w:rsidRPr="00A91E18">
        <w:rPr>
          <w:rFonts w:ascii="Roboto" w:hAnsi="Roboto" w:cstheme="minorHAnsi"/>
          <w:sz w:val="22"/>
          <w:szCs w:val="22"/>
        </w:rPr>
        <w:t xml:space="preserve"> to support the investment case for </w:t>
      </w:r>
      <w:r w:rsidR="00CF213C" w:rsidRPr="00A91E18">
        <w:rPr>
          <w:rFonts w:ascii="Roboto" w:hAnsi="Roboto" w:cstheme="minorHAnsi"/>
          <w:sz w:val="22"/>
          <w:szCs w:val="22"/>
        </w:rPr>
        <w:t xml:space="preserve">energy and resource efficient </w:t>
      </w:r>
      <w:r w:rsidR="006D006A" w:rsidRPr="00A91E18">
        <w:rPr>
          <w:rFonts w:ascii="Roboto" w:hAnsi="Roboto" w:cstheme="minorHAnsi"/>
          <w:sz w:val="22"/>
          <w:szCs w:val="22"/>
        </w:rPr>
        <w:t>real estate.</w:t>
      </w:r>
      <w:r w:rsidR="000C50FF" w:rsidRPr="00A91E18">
        <w:rPr>
          <w:rFonts w:ascii="Roboto" w:hAnsi="Roboto" w:cstheme="minorHAnsi"/>
          <w:sz w:val="22"/>
          <w:szCs w:val="22"/>
        </w:rPr>
        <w:t xml:space="preserve"> Released annually since 2016, in conjunction with the Green Building Council of South Africa (GBCSA) and sponsored by Growthpoint Properties</w:t>
      </w:r>
      <w:r w:rsidR="00890159">
        <w:rPr>
          <w:rFonts w:ascii="Roboto" w:hAnsi="Roboto" w:cstheme="minorHAnsi"/>
          <w:sz w:val="22"/>
          <w:szCs w:val="22"/>
        </w:rPr>
        <w:t xml:space="preserve"> (JSE: GRT)</w:t>
      </w:r>
      <w:r w:rsidR="000C50FF" w:rsidRPr="00A91E18">
        <w:rPr>
          <w:rFonts w:ascii="Roboto" w:hAnsi="Roboto" w:cstheme="minorHAnsi"/>
          <w:sz w:val="22"/>
          <w:szCs w:val="22"/>
        </w:rPr>
        <w:t xml:space="preserve">, the index provides an independent, globally consistent view on the investment performance of green-certified and non-certified offices. </w:t>
      </w:r>
    </w:p>
    <w:p w14:paraId="58248A0B" w14:textId="625EA4FF" w:rsidR="00500557" w:rsidRDefault="00D55270" w:rsidP="00D55270">
      <w:pPr>
        <w:spacing w:after="120" w:line="264" w:lineRule="auto"/>
        <w:jc w:val="both"/>
        <w:rPr>
          <w:rFonts w:ascii="Roboto" w:hAnsi="Roboto" w:cstheme="minorHAnsi"/>
          <w:sz w:val="22"/>
          <w:szCs w:val="22"/>
        </w:rPr>
      </w:pPr>
      <w:r w:rsidRPr="00A91E18">
        <w:rPr>
          <w:rFonts w:ascii="Roboto" w:hAnsi="Roboto" w:cstheme="minorHAnsi"/>
          <w:sz w:val="22"/>
          <w:szCs w:val="22"/>
        </w:rPr>
        <w:t xml:space="preserve">The index showed that </w:t>
      </w:r>
      <w:r w:rsidR="00624E62" w:rsidRPr="00A91E18">
        <w:rPr>
          <w:rFonts w:ascii="Roboto" w:hAnsi="Roboto" w:cstheme="minorHAnsi"/>
          <w:sz w:val="22"/>
          <w:szCs w:val="22"/>
        </w:rPr>
        <w:t xml:space="preserve">green certified Prime &amp; A-grade offices </w:t>
      </w:r>
      <w:r w:rsidR="00500557" w:rsidRPr="00A91E18">
        <w:rPr>
          <w:rFonts w:ascii="Roboto" w:hAnsi="Roboto" w:cstheme="minorHAnsi"/>
          <w:sz w:val="22"/>
          <w:szCs w:val="22"/>
        </w:rPr>
        <w:t>produced an improved total return in 2022 and outperformed non-certified</w:t>
      </w:r>
      <w:r w:rsidR="00CE386D" w:rsidRPr="00A91E18">
        <w:rPr>
          <w:rFonts w:ascii="Roboto" w:hAnsi="Roboto" w:cstheme="minorHAnsi"/>
          <w:sz w:val="22"/>
          <w:szCs w:val="22"/>
        </w:rPr>
        <w:t xml:space="preserve"> office</w:t>
      </w:r>
      <w:r w:rsidR="00500557" w:rsidRPr="00A91E18">
        <w:rPr>
          <w:rFonts w:ascii="Roboto" w:hAnsi="Roboto" w:cstheme="minorHAnsi"/>
          <w:sz w:val="22"/>
          <w:szCs w:val="22"/>
        </w:rPr>
        <w:t xml:space="preserve"> assets of a similar quality by 50bps during the year.</w:t>
      </w:r>
    </w:p>
    <w:p w14:paraId="54C73144" w14:textId="027472B6" w:rsidR="00890159" w:rsidRPr="00E20AA3" w:rsidRDefault="00890159" w:rsidP="00E20AA3">
      <w:pPr>
        <w:spacing w:after="120"/>
        <w:jc w:val="both"/>
        <w:rPr>
          <w:rFonts w:ascii="Roboto" w:eastAsiaTheme="minorHAnsi" w:hAnsi="Roboto"/>
          <w:color w:val="000000"/>
          <w:sz w:val="22"/>
          <w:szCs w:val="22"/>
        </w:rPr>
      </w:pPr>
      <w:r w:rsidRPr="00D3596A">
        <w:rPr>
          <w:rFonts w:ascii="Roboto" w:hAnsi="Roboto" w:cstheme="minorHAnsi"/>
          <w:sz w:val="22"/>
          <w:szCs w:val="22"/>
        </w:rPr>
        <w:t>Paul Kollenberg, Growthpoint Head of Asset Management: Offices, comments, “</w:t>
      </w:r>
      <w:r w:rsidRPr="00E20AA3">
        <w:rPr>
          <w:rFonts w:ascii="Roboto" w:hAnsi="Roboto"/>
          <w:color w:val="000000"/>
          <w:sz w:val="22"/>
          <w:szCs w:val="22"/>
        </w:rPr>
        <w:t>The MSCI index once again show</w:t>
      </w:r>
      <w:r w:rsidR="005150DC" w:rsidRPr="00E20AA3">
        <w:rPr>
          <w:rFonts w:ascii="Roboto" w:hAnsi="Roboto"/>
          <w:color w:val="000000"/>
          <w:sz w:val="22"/>
          <w:szCs w:val="22"/>
        </w:rPr>
        <w:t>s</w:t>
      </w:r>
      <w:r w:rsidRPr="00E20AA3">
        <w:rPr>
          <w:rFonts w:ascii="Roboto" w:hAnsi="Roboto"/>
          <w:color w:val="000000"/>
          <w:sz w:val="22"/>
          <w:szCs w:val="22"/>
        </w:rPr>
        <w:t xml:space="preserve"> that green buildings are good investments. But, more than that, it reflects lower power and water costs in these properties. At a time when tenants are looking at “total cost of occupation”, and utility prices keep escalating, it makes sense to rent space in a green efficient building. Added to that, the cost of providing backup power to these properties will be reduced, because consumption is lower.”</w:t>
      </w:r>
    </w:p>
    <w:p w14:paraId="7C8611FF" w14:textId="01E4CB24" w:rsidR="008040D0" w:rsidRDefault="000F4934" w:rsidP="00D3596A">
      <w:pPr>
        <w:spacing w:after="120" w:line="264" w:lineRule="auto"/>
        <w:jc w:val="both"/>
        <w:rPr>
          <w:rFonts w:ascii="Roboto" w:hAnsi="Roboto" w:cstheme="minorHAnsi"/>
          <w:sz w:val="22"/>
          <w:szCs w:val="22"/>
        </w:rPr>
      </w:pPr>
      <w:r w:rsidRPr="00A91E18">
        <w:rPr>
          <w:rFonts w:ascii="Roboto" w:hAnsi="Roboto" w:cstheme="minorHAnsi"/>
          <w:sz w:val="22"/>
          <w:szCs w:val="22"/>
        </w:rPr>
        <w:t>At the end of 202</w:t>
      </w:r>
      <w:r w:rsidR="00B77FB2" w:rsidRPr="00A91E18">
        <w:rPr>
          <w:rFonts w:ascii="Roboto" w:hAnsi="Roboto" w:cstheme="minorHAnsi"/>
          <w:sz w:val="22"/>
          <w:szCs w:val="22"/>
        </w:rPr>
        <w:t>2</w:t>
      </w:r>
      <w:r w:rsidRPr="00A91E18">
        <w:rPr>
          <w:rFonts w:ascii="Roboto" w:hAnsi="Roboto" w:cstheme="minorHAnsi"/>
          <w:sz w:val="22"/>
          <w:szCs w:val="22"/>
        </w:rPr>
        <w:t>, t</w:t>
      </w:r>
      <w:r w:rsidR="0059386A" w:rsidRPr="00A91E18">
        <w:rPr>
          <w:rFonts w:ascii="Roboto" w:hAnsi="Roboto" w:cstheme="minorHAnsi"/>
          <w:sz w:val="22"/>
          <w:szCs w:val="22"/>
        </w:rPr>
        <w:t xml:space="preserve">he </w:t>
      </w:r>
      <w:r w:rsidRPr="00A91E18">
        <w:rPr>
          <w:rFonts w:ascii="Roboto" w:hAnsi="Roboto" w:cstheme="minorHAnsi"/>
          <w:sz w:val="22"/>
          <w:szCs w:val="22"/>
        </w:rPr>
        <w:t>i</w:t>
      </w:r>
      <w:r w:rsidR="0059386A" w:rsidRPr="00A91E18">
        <w:rPr>
          <w:rFonts w:ascii="Roboto" w:hAnsi="Roboto" w:cstheme="minorHAnsi"/>
          <w:sz w:val="22"/>
          <w:szCs w:val="22"/>
        </w:rPr>
        <w:t xml:space="preserve">ndex </w:t>
      </w:r>
      <w:r w:rsidR="008040D0" w:rsidRPr="00A91E18">
        <w:rPr>
          <w:rFonts w:ascii="Roboto" w:hAnsi="Roboto" w:cstheme="minorHAnsi"/>
          <w:sz w:val="22"/>
          <w:szCs w:val="22"/>
        </w:rPr>
        <w:t>sample comprised</w:t>
      </w:r>
      <w:r w:rsidR="0059386A" w:rsidRPr="00A91E18">
        <w:rPr>
          <w:rFonts w:ascii="Roboto" w:hAnsi="Roboto" w:cstheme="minorHAnsi"/>
          <w:sz w:val="22"/>
          <w:szCs w:val="22"/>
        </w:rPr>
        <w:t xml:space="preserve"> </w:t>
      </w:r>
      <w:r w:rsidR="00460D2D" w:rsidRPr="00A91E18">
        <w:rPr>
          <w:rFonts w:ascii="Roboto" w:hAnsi="Roboto" w:cstheme="minorHAnsi"/>
          <w:sz w:val="22"/>
          <w:szCs w:val="22"/>
        </w:rPr>
        <w:t>303</w:t>
      </w:r>
      <w:r w:rsidR="006E000F" w:rsidRPr="00A91E18">
        <w:rPr>
          <w:rFonts w:ascii="Roboto" w:hAnsi="Roboto" w:cstheme="minorHAnsi"/>
          <w:sz w:val="22"/>
          <w:szCs w:val="22"/>
        </w:rPr>
        <w:t xml:space="preserve"> prime and A grade office</w:t>
      </w:r>
      <w:r w:rsidR="008040D0" w:rsidRPr="00A91E18">
        <w:rPr>
          <w:rFonts w:ascii="Roboto" w:hAnsi="Roboto" w:cstheme="minorHAnsi"/>
          <w:sz w:val="22"/>
          <w:szCs w:val="22"/>
        </w:rPr>
        <w:t xml:space="preserve"> properties</w:t>
      </w:r>
      <w:r w:rsidRPr="00A91E18">
        <w:rPr>
          <w:rFonts w:ascii="Roboto" w:hAnsi="Roboto" w:cstheme="minorHAnsi"/>
          <w:sz w:val="22"/>
          <w:szCs w:val="22"/>
        </w:rPr>
        <w:t xml:space="preserve"> </w:t>
      </w:r>
      <w:r w:rsidR="008040D0" w:rsidRPr="00A91E18">
        <w:rPr>
          <w:rFonts w:ascii="Roboto" w:hAnsi="Roboto" w:cstheme="minorHAnsi"/>
          <w:sz w:val="22"/>
          <w:szCs w:val="22"/>
        </w:rPr>
        <w:t xml:space="preserve">valued at </w:t>
      </w:r>
      <w:r w:rsidR="00460D2D" w:rsidRPr="00A91E18">
        <w:rPr>
          <w:rFonts w:ascii="Roboto" w:hAnsi="Roboto" w:cstheme="minorHAnsi"/>
          <w:sz w:val="22"/>
          <w:szCs w:val="22"/>
        </w:rPr>
        <w:t>R5</w:t>
      </w:r>
      <w:r w:rsidR="00AF63C6" w:rsidRPr="00A91E18">
        <w:rPr>
          <w:rFonts w:ascii="Roboto" w:hAnsi="Roboto" w:cstheme="minorHAnsi"/>
          <w:sz w:val="22"/>
          <w:szCs w:val="22"/>
        </w:rPr>
        <w:t>8.2</w:t>
      </w:r>
      <w:r w:rsidR="006E000F" w:rsidRPr="00A91E18">
        <w:rPr>
          <w:rFonts w:ascii="Roboto" w:hAnsi="Roboto" w:cstheme="minorHAnsi"/>
          <w:sz w:val="22"/>
          <w:szCs w:val="22"/>
        </w:rPr>
        <w:t xml:space="preserve"> billion</w:t>
      </w:r>
      <w:r w:rsidR="008040D0" w:rsidRPr="00A91E18">
        <w:rPr>
          <w:rFonts w:ascii="Roboto" w:hAnsi="Roboto" w:cstheme="minorHAnsi"/>
          <w:sz w:val="22"/>
          <w:szCs w:val="22"/>
        </w:rPr>
        <w:t xml:space="preserve"> of which </w:t>
      </w:r>
      <w:r w:rsidR="00460D2D" w:rsidRPr="00A91E18">
        <w:rPr>
          <w:rFonts w:ascii="Roboto" w:hAnsi="Roboto" w:cstheme="minorHAnsi"/>
          <w:sz w:val="22"/>
          <w:szCs w:val="22"/>
        </w:rPr>
        <w:t>1</w:t>
      </w:r>
      <w:r w:rsidR="00A95E37" w:rsidRPr="00A91E18">
        <w:rPr>
          <w:rFonts w:ascii="Roboto" w:hAnsi="Roboto" w:cstheme="minorHAnsi"/>
          <w:sz w:val="22"/>
          <w:szCs w:val="22"/>
        </w:rPr>
        <w:t>64</w:t>
      </w:r>
      <w:r w:rsidR="008040D0" w:rsidRPr="00A91E18">
        <w:rPr>
          <w:rFonts w:ascii="Roboto" w:hAnsi="Roboto" w:cstheme="minorHAnsi"/>
          <w:sz w:val="22"/>
          <w:szCs w:val="22"/>
        </w:rPr>
        <w:t xml:space="preserve"> were green-certified buildings. These were compared to </w:t>
      </w:r>
      <w:r w:rsidR="00AF63C6" w:rsidRPr="00A91E18">
        <w:rPr>
          <w:rFonts w:ascii="Roboto" w:hAnsi="Roboto" w:cstheme="minorHAnsi"/>
          <w:sz w:val="22"/>
          <w:szCs w:val="22"/>
        </w:rPr>
        <w:t>112</w:t>
      </w:r>
      <w:r w:rsidR="008040D0" w:rsidRPr="00A91E18">
        <w:rPr>
          <w:rFonts w:ascii="Roboto" w:hAnsi="Roboto" w:cstheme="minorHAnsi"/>
          <w:sz w:val="22"/>
          <w:szCs w:val="22"/>
        </w:rPr>
        <w:t xml:space="preserve"> non-certified offices of a similar quality.</w:t>
      </w:r>
    </w:p>
    <w:p w14:paraId="520314AD" w14:textId="7AED4745" w:rsidR="00C80C7F" w:rsidRPr="00585EB4" w:rsidRDefault="00352B7E" w:rsidP="00C80C7F">
      <w:pPr>
        <w:spacing w:after="120" w:line="264" w:lineRule="auto"/>
        <w:rPr>
          <w:rFonts w:ascii="Roboto" w:hAnsi="Roboto" w:cstheme="minorHAnsi"/>
          <w:sz w:val="22"/>
          <w:szCs w:val="22"/>
        </w:rPr>
      </w:pPr>
      <w:r w:rsidRPr="00585EB4">
        <w:rPr>
          <w:rFonts w:ascii="Roboto" w:hAnsi="Roboto" w:cstheme="minorHAnsi"/>
          <w:sz w:val="22"/>
          <w:szCs w:val="22"/>
        </w:rPr>
        <w:t>“These re</w:t>
      </w:r>
      <w:r w:rsidR="006F7219" w:rsidRPr="00585EB4">
        <w:rPr>
          <w:rFonts w:ascii="Roboto" w:hAnsi="Roboto" w:cstheme="minorHAnsi"/>
          <w:sz w:val="22"/>
          <w:szCs w:val="22"/>
        </w:rPr>
        <w:t xml:space="preserve">sults </w:t>
      </w:r>
      <w:r w:rsidR="006E5495" w:rsidRPr="00585EB4">
        <w:rPr>
          <w:rFonts w:ascii="Roboto" w:hAnsi="Roboto" w:cstheme="minorHAnsi"/>
          <w:sz w:val="22"/>
          <w:szCs w:val="22"/>
        </w:rPr>
        <w:t>confirm that there are long term</w:t>
      </w:r>
      <w:r w:rsidR="00A8360C" w:rsidRPr="00585EB4">
        <w:rPr>
          <w:rFonts w:ascii="Roboto" w:hAnsi="Roboto" w:cstheme="minorHAnsi"/>
          <w:sz w:val="22"/>
          <w:szCs w:val="22"/>
        </w:rPr>
        <w:t xml:space="preserve"> benefits associated with pursuing green building certification. </w:t>
      </w:r>
      <w:r w:rsidR="005637C3" w:rsidRPr="00585EB4">
        <w:rPr>
          <w:rFonts w:ascii="Roboto" w:hAnsi="Roboto" w:cstheme="minorHAnsi"/>
          <w:sz w:val="22"/>
          <w:szCs w:val="22"/>
        </w:rPr>
        <w:t>With some tough market conditions at play, green certified buildings are demonstrating their resilience and value”</w:t>
      </w:r>
      <w:r w:rsidR="00CA2E5E" w:rsidRPr="00585EB4">
        <w:rPr>
          <w:rFonts w:ascii="Roboto" w:hAnsi="Roboto" w:cstheme="minorHAnsi"/>
          <w:sz w:val="22"/>
          <w:szCs w:val="22"/>
        </w:rPr>
        <w:t xml:space="preserve"> says </w:t>
      </w:r>
      <w:r w:rsidR="009A2B5E" w:rsidRPr="00585EB4">
        <w:rPr>
          <w:rFonts w:ascii="Roboto" w:hAnsi="Roboto" w:cstheme="minorHAnsi"/>
          <w:sz w:val="22"/>
          <w:szCs w:val="22"/>
        </w:rPr>
        <w:t>Georgina Smit</w:t>
      </w:r>
      <w:r w:rsidR="00D125D2">
        <w:rPr>
          <w:rFonts w:ascii="Roboto" w:hAnsi="Roboto" w:cstheme="minorHAnsi"/>
          <w:sz w:val="22"/>
          <w:szCs w:val="22"/>
        </w:rPr>
        <w:t xml:space="preserve">, </w:t>
      </w:r>
      <w:r w:rsidR="009A2B5E" w:rsidRPr="00585EB4">
        <w:rPr>
          <w:rFonts w:ascii="Roboto" w:hAnsi="Roboto" w:cstheme="minorHAnsi"/>
          <w:sz w:val="22"/>
          <w:szCs w:val="22"/>
        </w:rPr>
        <w:t xml:space="preserve">GBCSA </w:t>
      </w:r>
      <w:r w:rsidR="00D125D2">
        <w:rPr>
          <w:rFonts w:ascii="Roboto" w:hAnsi="Roboto" w:cstheme="minorHAnsi"/>
          <w:sz w:val="22"/>
          <w:szCs w:val="22"/>
        </w:rPr>
        <w:t>H</w:t>
      </w:r>
      <w:r w:rsidR="009A2B5E" w:rsidRPr="00585EB4">
        <w:rPr>
          <w:rFonts w:ascii="Roboto" w:hAnsi="Roboto" w:cstheme="minorHAnsi"/>
          <w:sz w:val="22"/>
          <w:szCs w:val="22"/>
        </w:rPr>
        <w:t xml:space="preserve">ead of </w:t>
      </w:r>
      <w:r w:rsidR="00D125D2">
        <w:rPr>
          <w:rFonts w:ascii="Roboto" w:hAnsi="Roboto" w:cstheme="minorHAnsi"/>
          <w:sz w:val="22"/>
          <w:szCs w:val="22"/>
        </w:rPr>
        <w:t>T</w:t>
      </w:r>
      <w:r w:rsidR="009A2B5E" w:rsidRPr="00585EB4">
        <w:rPr>
          <w:rFonts w:ascii="Roboto" w:hAnsi="Roboto" w:cstheme="minorHAnsi"/>
          <w:sz w:val="22"/>
          <w:szCs w:val="22"/>
        </w:rPr>
        <w:t>echnical</w:t>
      </w:r>
      <w:r w:rsidR="00CA2E5E" w:rsidRPr="00585EB4">
        <w:rPr>
          <w:rFonts w:ascii="Roboto" w:hAnsi="Roboto" w:cstheme="minorHAnsi"/>
          <w:sz w:val="22"/>
          <w:szCs w:val="22"/>
        </w:rPr>
        <w:t xml:space="preserve">. </w:t>
      </w:r>
    </w:p>
    <w:p w14:paraId="612183B6" w14:textId="34A4C978" w:rsidR="00225065" w:rsidRPr="00A91E18" w:rsidRDefault="00225065" w:rsidP="00225065">
      <w:pPr>
        <w:spacing w:after="120" w:line="264" w:lineRule="auto"/>
        <w:rPr>
          <w:rFonts w:ascii="Roboto" w:eastAsiaTheme="minorHAnsi" w:hAnsi="Roboto" w:cstheme="minorHAnsi"/>
          <w:b/>
          <w:bCs/>
          <w:sz w:val="22"/>
          <w:szCs w:val="22"/>
        </w:rPr>
      </w:pPr>
      <w:r w:rsidRPr="00A91E18">
        <w:rPr>
          <w:rFonts w:ascii="Roboto" w:hAnsi="Roboto" w:cstheme="minorHAnsi"/>
          <w:b/>
          <w:bCs/>
        </w:rPr>
        <w:t xml:space="preserve">Green offices outperformed by </w:t>
      </w:r>
      <w:r w:rsidR="000B1CDA" w:rsidRPr="00A91E18">
        <w:rPr>
          <w:rFonts w:ascii="Roboto" w:hAnsi="Roboto" w:cstheme="minorHAnsi"/>
          <w:b/>
          <w:bCs/>
        </w:rPr>
        <w:t>20.9</w:t>
      </w:r>
      <w:r w:rsidRPr="00A91E18">
        <w:rPr>
          <w:rFonts w:ascii="Roboto" w:hAnsi="Roboto" w:cstheme="minorHAnsi"/>
          <w:b/>
          <w:bCs/>
        </w:rPr>
        <w:t>% since 2016</w:t>
      </w:r>
    </w:p>
    <w:p w14:paraId="1BB96A8A" w14:textId="4799040E" w:rsidR="008B3551" w:rsidRPr="00A91E18" w:rsidRDefault="00460D2D" w:rsidP="008B3551">
      <w:pPr>
        <w:spacing w:after="120" w:line="264" w:lineRule="auto"/>
        <w:jc w:val="both"/>
        <w:rPr>
          <w:rFonts w:ascii="Roboto" w:hAnsi="Roboto" w:cstheme="minorHAnsi"/>
          <w:sz w:val="22"/>
          <w:szCs w:val="22"/>
        </w:rPr>
      </w:pPr>
      <w:r w:rsidRPr="00A91E18">
        <w:rPr>
          <w:rFonts w:ascii="Roboto" w:hAnsi="Roboto" w:cstheme="minorHAnsi"/>
          <w:sz w:val="22"/>
          <w:szCs w:val="22"/>
        </w:rPr>
        <w:t>For the year ended December 202</w:t>
      </w:r>
      <w:r w:rsidR="00AF63C6" w:rsidRPr="00A91E18">
        <w:rPr>
          <w:rFonts w:ascii="Roboto" w:hAnsi="Roboto" w:cstheme="minorHAnsi"/>
          <w:sz w:val="22"/>
          <w:szCs w:val="22"/>
        </w:rPr>
        <w:t>2</w:t>
      </w:r>
      <w:r w:rsidRPr="00A91E18">
        <w:rPr>
          <w:rFonts w:ascii="Roboto" w:hAnsi="Roboto" w:cstheme="minorHAnsi"/>
          <w:sz w:val="22"/>
          <w:szCs w:val="22"/>
        </w:rPr>
        <w:t xml:space="preserve">, the green-certified office sample delivered a total return of </w:t>
      </w:r>
      <w:r w:rsidR="00E211C3" w:rsidRPr="00A91E18">
        <w:rPr>
          <w:rFonts w:ascii="Roboto" w:hAnsi="Roboto" w:cstheme="minorHAnsi"/>
          <w:sz w:val="22"/>
          <w:szCs w:val="22"/>
        </w:rPr>
        <w:t>6.1</w:t>
      </w:r>
      <w:r w:rsidRPr="00A91E18">
        <w:rPr>
          <w:rFonts w:ascii="Roboto" w:hAnsi="Roboto" w:cstheme="minorHAnsi"/>
          <w:sz w:val="22"/>
          <w:szCs w:val="22"/>
        </w:rPr>
        <w:t xml:space="preserve">%, </w:t>
      </w:r>
      <w:r w:rsidR="00E211C3" w:rsidRPr="00A91E18">
        <w:rPr>
          <w:rFonts w:ascii="Roboto" w:hAnsi="Roboto" w:cstheme="minorHAnsi"/>
          <w:sz w:val="22"/>
          <w:szCs w:val="22"/>
        </w:rPr>
        <w:t>50</w:t>
      </w:r>
      <w:r w:rsidRPr="00A91E18">
        <w:rPr>
          <w:rFonts w:ascii="Roboto" w:hAnsi="Roboto" w:cstheme="minorHAnsi"/>
          <w:sz w:val="22"/>
          <w:szCs w:val="22"/>
        </w:rPr>
        <w:t xml:space="preserve">bps above the non-certified sample’s return of </w:t>
      </w:r>
      <w:r w:rsidR="00E211C3" w:rsidRPr="00A91E18">
        <w:rPr>
          <w:rFonts w:ascii="Roboto" w:hAnsi="Roboto" w:cstheme="minorHAnsi"/>
          <w:sz w:val="22"/>
          <w:szCs w:val="22"/>
        </w:rPr>
        <w:t>5.6</w:t>
      </w:r>
      <w:r w:rsidRPr="00A91E18">
        <w:rPr>
          <w:rFonts w:ascii="Roboto" w:hAnsi="Roboto" w:cstheme="minorHAnsi"/>
          <w:sz w:val="22"/>
          <w:szCs w:val="22"/>
        </w:rPr>
        <w:t>%.</w:t>
      </w:r>
      <w:r w:rsidR="00694958" w:rsidRPr="00A91E18">
        <w:rPr>
          <w:rFonts w:ascii="Roboto" w:hAnsi="Roboto" w:cstheme="minorHAnsi"/>
          <w:sz w:val="22"/>
          <w:szCs w:val="22"/>
        </w:rPr>
        <w:t xml:space="preserve"> </w:t>
      </w:r>
      <w:r w:rsidR="00901344" w:rsidRPr="00A91E18">
        <w:rPr>
          <w:rFonts w:ascii="Roboto" w:hAnsi="Roboto" w:cstheme="minorHAnsi"/>
          <w:sz w:val="22"/>
          <w:szCs w:val="22"/>
        </w:rPr>
        <w:t xml:space="preserve">Since the index’s inception in 2016, the sample of green-certified offices </w:t>
      </w:r>
      <w:r w:rsidR="0078154C" w:rsidRPr="00A91E18">
        <w:rPr>
          <w:rFonts w:ascii="Roboto" w:hAnsi="Roboto" w:cstheme="minorHAnsi"/>
          <w:sz w:val="22"/>
          <w:szCs w:val="22"/>
        </w:rPr>
        <w:t>ou</w:t>
      </w:r>
      <w:r w:rsidR="008B3551" w:rsidRPr="00A91E18">
        <w:rPr>
          <w:rFonts w:ascii="Roboto" w:hAnsi="Roboto" w:cstheme="minorHAnsi"/>
          <w:sz w:val="22"/>
          <w:szCs w:val="22"/>
        </w:rPr>
        <w:t>tperformed</w:t>
      </w:r>
      <w:r w:rsidR="00172B84" w:rsidRPr="00A91E18">
        <w:rPr>
          <w:rFonts w:ascii="Roboto" w:hAnsi="Roboto" w:cstheme="minorHAnsi"/>
          <w:sz w:val="22"/>
          <w:szCs w:val="22"/>
        </w:rPr>
        <w:t xml:space="preserve"> the non-certified sample</w:t>
      </w:r>
      <w:r w:rsidR="008B3551" w:rsidRPr="00A91E18">
        <w:rPr>
          <w:rFonts w:ascii="Roboto" w:hAnsi="Roboto" w:cstheme="minorHAnsi"/>
          <w:sz w:val="22"/>
          <w:szCs w:val="22"/>
        </w:rPr>
        <w:t xml:space="preserve"> by a cumulative 20.9%</w:t>
      </w:r>
      <w:r w:rsidR="00694958" w:rsidRPr="00A91E18">
        <w:rPr>
          <w:rFonts w:ascii="Roboto" w:hAnsi="Roboto" w:cstheme="minorHAnsi"/>
          <w:sz w:val="22"/>
          <w:szCs w:val="22"/>
        </w:rPr>
        <w:t>.</w:t>
      </w:r>
    </w:p>
    <w:p w14:paraId="7F375255" w14:textId="2C35F90E" w:rsidR="008A0FB0" w:rsidRPr="00A91E18" w:rsidRDefault="00E96F5A" w:rsidP="008A0FB0">
      <w:pPr>
        <w:spacing w:after="120" w:line="264" w:lineRule="auto"/>
        <w:jc w:val="both"/>
        <w:rPr>
          <w:rFonts w:ascii="Roboto" w:hAnsi="Roboto" w:cstheme="minorHAnsi"/>
          <w:sz w:val="22"/>
          <w:szCs w:val="22"/>
        </w:rPr>
      </w:pPr>
      <w:r w:rsidRPr="00A91E18">
        <w:rPr>
          <w:rFonts w:ascii="Roboto" w:hAnsi="Roboto" w:cstheme="minorHAnsi"/>
          <w:sz w:val="22"/>
          <w:szCs w:val="22"/>
        </w:rPr>
        <w:t xml:space="preserve">Over this </w:t>
      </w:r>
      <w:r w:rsidR="00F14425" w:rsidRPr="00A91E18">
        <w:rPr>
          <w:rFonts w:ascii="Roboto" w:hAnsi="Roboto" w:cstheme="minorHAnsi"/>
          <w:sz w:val="22"/>
          <w:szCs w:val="22"/>
        </w:rPr>
        <w:t>seven-year</w:t>
      </w:r>
      <w:r w:rsidRPr="00A91E18">
        <w:rPr>
          <w:rFonts w:ascii="Roboto" w:hAnsi="Roboto" w:cstheme="minorHAnsi"/>
          <w:sz w:val="22"/>
          <w:szCs w:val="22"/>
        </w:rPr>
        <w:t xml:space="preserve"> period, green certified offices had a </w:t>
      </w:r>
      <w:r w:rsidR="002D4FFA" w:rsidRPr="00A91E18">
        <w:rPr>
          <w:rFonts w:ascii="Roboto" w:hAnsi="Roboto" w:cstheme="minorHAnsi"/>
          <w:sz w:val="22"/>
          <w:szCs w:val="22"/>
        </w:rPr>
        <w:t xml:space="preserve">2.1% </w:t>
      </w:r>
      <w:r w:rsidR="00E217C2" w:rsidRPr="00A91E18">
        <w:rPr>
          <w:rFonts w:ascii="Roboto" w:hAnsi="Roboto" w:cstheme="minorHAnsi"/>
          <w:sz w:val="22"/>
          <w:szCs w:val="22"/>
        </w:rPr>
        <w:t xml:space="preserve">lower vacancy rate </w:t>
      </w:r>
      <w:r w:rsidR="002D5D80" w:rsidRPr="00A91E18">
        <w:rPr>
          <w:rFonts w:ascii="Roboto" w:hAnsi="Roboto" w:cstheme="minorHAnsi"/>
          <w:sz w:val="22"/>
          <w:szCs w:val="22"/>
        </w:rPr>
        <w:t xml:space="preserve">and </w:t>
      </w:r>
      <w:r w:rsidR="002D4FFA" w:rsidRPr="00A91E18">
        <w:rPr>
          <w:rFonts w:ascii="Roboto" w:hAnsi="Roboto" w:cstheme="minorHAnsi"/>
          <w:sz w:val="22"/>
          <w:szCs w:val="22"/>
        </w:rPr>
        <w:t xml:space="preserve">1.0% </w:t>
      </w:r>
      <w:r w:rsidR="002D5D80" w:rsidRPr="00A91E18">
        <w:rPr>
          <w:rFonts w:ascii="Roboto" w:hAnsi="Roboto" w:cstheme="minorHAnsi"/>
          <w:sz w:val="22"/>
          <w:szCs w:val="22"/>
        </w:rPr>
        <w:t xml:space="preserve">higher net operating </w:t>
      </w:r>
      <w:r w:rsidR="002D4FFA" w:rsidRPr="00A91E18">
        <w:rPr>
          <w:rFonts w:ascii="Roboto" w:hAnsi="Roboto" w:cstheme="minorHAnsi"/>
          <w:sz w:val="22"/>
          <w:szCs w:val="22"/>
        </w:rPr>
        <w:t>income</w:t>
      </w:r>
      <w:r w:rsidR="00903763" w:rsidRPr="00A91E18">
        <w:rPr>
          <w:rFonts w:ascii="Roboto" w:hAnsi="Roboto" w:cstheme="minorHAnsi"/>
          <w:sz w:val="22"/>
          <w:szCs w:val="22"/>
        </w:rPr>
        <w:t xml:space="preserve"> (NOI)</w:t>
      </w:r>
      <w:r w:rsidR="002D4FFA" w:rsidRPr="00A91E18">
        <w:rPr>
          <w:rFonts w:ascii="Roboto" w:hAnsi="Roboto" w:cstheme="minorHAnsi"/>
          <w:sz w:val="22"/>
          <w:szCs w:val="22"/>
        </w:rPr>
        <w:t xml:space="preserve"> </w:t>
      </w:r>
      <w:r w:rsidR="002D5D80" w:rsidRPr="00A91E18">
        <w:rPr>
          <w:rFonts w:ascii="Roboto" w:hAnsi="Roboto" w:cstheme="minorHAnsi"/>
          <w:sz w:val="22"/>
          <w:szCs w:val="22"/>
        </w:rPr>
        <w:t>growth</w:t>
      </w:r>
      <w:r w:rsidR="002D4FFA" w:rsidRPr="00A91E18">
        <w:rPr>
          <w:rFonts w:ascii="Roboto" w:hAnsi="Roboto" w:cstheme="minorHAnsi"/>
          <w:sz w:val="22"/>
          <w:szCs w:val="22"/>
        </w:rPr>
        <w:t xml:space="preserve">. This robust NOI growth underpinned green offices’ income return </w:t>
      </w:r>
      <w:r w:rsidR="004B4A49" w:rsidRPr="00A91E18">
        <w:rPr>
          <w:rFonts w:ascii="Roboto" w:hAnsi="Roboto" w:cstheme="minorHAnsi"/>
          <w:sz w:val="22"/>
          <w:szCs w:val="22"/>
        </w:rPr>
        <w:t>which was in</w:t>
      </w:r>
      <w:r w:rsidR="004D718C">
        <w:rPr>
          <w:rFonts w:ascii="Roboto" w:hAnsi="Roboto" w:cstheme="minorHAnsi"/>
          <w:sz w:val="22"/>
          <w:szCs w:val="22"/>
        </w:rPr>
        <w:t>-</w:t>
      </w:r>
      <w:r w:rsidR="004B4A49" w:rsidRPr="00A91E18">
        <w:rPr>
          <w:rFonts w:ascii="Roboto" w:hAnsi="Roboto" w:cstheme="minorHAnsi"/>
          <w:sz w:val="22"/>
          <w:szCs w:val="22"/>
        </w:rPr>
        <w:t>line with that of non-certified offices despite a 25% higher capital value per square metre.</w:t>
      </w:r>
      <w:r w:rsidR="00903763" w:rsidRPr="00A91E18">
        <w:rPr>
          <w:rFonts w:ascii="Roboto" w:hAnsi="Roboto" w:cstheme="minorHAnsi"/>
          <w:sz w:val="22"/>
          <w:szCs w:val="22"/>
        </w:rPr>
        <w:t xml:space="preserve"> A</w:t>
      </w:r>
      <w:r w:rsidR="00E37D3A" w:rsidRPr="00A91E18">
        <w:rPr>
          <w:rFonts w:ascii="Roboto" w:hAnsi="Roboto" w:cstheme="minorHAnsi"/>
          <w:sz w:val="22"/>
          <w:szCs w:val="22"/>
        </w:rPr>
        <w:t xml:space="preserve"> 30% higher NOI per square meter compared to non-certified office buildings </w:t>
      </w:r>
      <w:r w:rsidR="00181501" w:rsidRPr="00A91E18">
        <w:rPr>
          <w:rFonts w:ascii="Roboto" w:hAnsi="Roboto" w:cstheme="minorHAnsi"/>
          <w:sz w:val="22"/>
          <w:szCs w:val="22"/>
        </w:rPr>
        <w:t>reinforced</w:t>
      </w:r>
      <w:r w:rsidR="00E37D3A" w:rsidRPr="00A91E18">
        <w:rPr>
          <w:rFonts w:ascii="Roboto" w:hAnsi="Roboto" w:cstheme="minorHAnsi"/>
          <w:sz w:val="22"/>
          <w:szCs w:val="22"/>
        </w:rPr>
        <w:t xml:space="preserve"> the </w:t>
      </w:r>
      <w:r w:rsidR="00181501" w:rsidRPr="00A91E18">
        <w:rPr>
          <w:rFonts w:ascii="Roboto" w:hAnsi="Roboto" w:cstheme="minorHAnsi"/>
          <w:sz w:val="22"/>
          <w:szCs w:val="22"/>
        </w:rPr>
        <w:t>premium</w:t>
      </w:r>
      <w:r w:rsidR="00E37D3A" w:rsidRPr="00A91E18">
        <w:rPr>
          <w:rFonts w:ascii="Roboto" w:hAnsi="Roboto" w:cstheme="minorHAnsi"/>
          <w:sz w:val="22"/>
          <w:szCs w:val="22"/>
        </w:rPr>
        <w:t xml:space="preserve"> </w:t>
      </w:r>
      <w:r w:rsidR="00A91E18" w:rsidRPr="00A91E18">
        <w:rPr>
          <w:rFonts w:ascii="Roboto" w:hAnsi="Roboto" w:cstheme="minorHAnsi"/>
          <w:sz w:val="22"/>
          <w:szCs w:val="22"/>
        </w:rPr>
        <w:t>blue-chip</w:t>
      </w:r>
      <w:r w:rsidR="00E37D3A" w:rsidRPr="00A91E18">
        <w:rPr>
          <w:rFonts w:ascii="Roboto" w:hAnsi="Roboto" w:cstheme="minorHAnsi"/>
          <w:sz w:val="22"/>
          <w:szCs w:val="22"/>
        </w:rPr>
        <w:t xml:space="preserve"> occupiers are placing on green office accommodation.</w:t>
      </w:r>
    </w:p>
    <w:p w14:paraId="5E201421" w14:textId="000B901F" w:rsidR="001140A0" w:rsidRPr="00A91E18" w:rsidRDefault="001B6039" w:rsidP="00CE6ED3">
      <w:pPr>
        <w:spacing w:after="120" w:line="264" w:lineRule="auto"/>
        <w:rPr>
          <w:rFonts w:ascii="Roboto" w:hAnsi="Roboto" w:cstheme="minorHAnsi"/>
          <w:b/>
          <w:bCs/>
        </w:rPr>
      </w:pPr>
      <w:r w:rsidRPr="00A91E18">
        <w:rPr>
          <w:rFonts w:ascii="Roboto" w:hAnsi="Roboto" w:cstheme="minorHAnsi"/>
          <w:b/>
          <w:bCs/>
        </w:rPr>
        <w:t xml:space="preserve">Green </w:t>
      </w:r>
      <w:r w:rsidR="00113DE7" w:rsidRPr="00A91E18">
        <w:rPr>
          <w:rFonts w:ascii="Roboto" w:hAnsi="Roboto" w:cstheme="minorHAnsi"/>
          <w:b/>
          <w:bCs/>
        </w:rPr>
        <w:t>office</w:t>
      </w:r>
      <w:r w:rsidR="00C361DF" w:rsidRPr="00A91E18">
        <w:rPr>
          <w:rFonts w:ascii="Roboto" w:hAnsi="Roboto" w:cstheme="minorHAnsi"/>
          <w:b/>
          <w:bCs/>
        </w:rPr>
        <w:t xml:space="preserve"> </w:t>
      </w:r>
      <w:r w:rsidR="00BC3414" w:rsidRPr="00A91E18">
        <w:rPr>
          <w:rFonts w:ascii="Roboto" w:hAnsi="Roboto" w:cstheme="minorHAnsi"/>
          <w:b/>
          <w:bCs/>
        </w:rPr>
        <w:t>cashflows</w:t>
      </w:r>
      <w:r w:rsidR="00C361DF" w:rsidRPr="00A91E18">
        <w:rPr>
          <w:rFonts w:ascii="Roboto" w:hAnsi="Roboto" w:cstheme="minorHAnsi"/>
          <w:b/>
          <w:bCs/>
        </w:rPr>
        <w:t xml:space="preserve"> deemed lower risk</w:t>
      </w:r>
    </w:p>
    <w:p w14:paraId="753981B2" w14:textId="1813B9ED" w:rsidR="008C6226" w:rsidRPr="00A91E18" w:rsidRDefault="008C6226" w:rsidP="00EA234E">
      <w:pPr>
        <w:spacing w:after="120" w:line="264" w:lineRule="auto"/>
        <w:rPr>
          <w:rFonts w:ascii="Roboto" w:hAnsi="Roboto" w:cstheme="minorHAnsi"/>
          <w:sz w:val="22"/>
          <w:szCs w:val="22"/>
        </w:rPr>
      </w:pPr>
      <w:r w:rsidRPr="00A91E18">
        <w:rPr>
          <w:rFonts w:ascii="Roboto" w:hAnsi="Roboto" w:cstheme="minorHAnsi"/>
          <w:sz w:val="22"/>
          <w:szCs w:val="22"/>
        </w:rPr>
        <w:t>Green certified offices boasted significantly lower per square meter usage of electricity (-</w:t>
      </w:r>
      <w:r w:rsidR="0040505C" w:rsidRPr="00A91E18">
        <w:rPr>
          <w:rFonts w:ascii="Roboto" w:hAnsi="Roboto" w:cstheme="minorHAnsi"/>
          <w:sz w:val="22"/>
          <w:szCs w:val="22"/>
        </w:rPr>
        <w:t>4.5</w:t>
      </w:r>
      <w:r w:rsidRPr="00A91E18">
        <w:rPr>
          <w:rFonts w:ascii="Roboto" w:hAnsi="Roboto" w:cstheme="minorHAnsi"/>
          <w:sz w:val="22"/>
          <w:szCs w:val="22"/>
        </w:rPr>
        <w:t>%) and water (-</w:t>
      </w:r>
      <w:r w:rsidR="0040505C" w:rsidRPr="00A91E18">
        <w:rPr>
          <w:rFonts w:ascii="Roboto" w:hAnsi="Roboto" w:cstheme="minorHAnsi"/>
          <w:sz w:val="22"/>
          <w:szCs w:val="22"/>
        </w:rPr>
        <w:t>14.3</w:t>
      </w:r>
      <w:r w:rsidRPr="00A91E18">
        <w:rPr>
          <w:rFonts w:ascii="Roboto" w:hAnsi="Roboto" w:cstheme="minorHAnsi"/>
          <w:sz w:val="22"/>
          <w:szCs w:val="22"/>
        </w:rPr>
        <w:t xml:space="preserve">%) when compared to non-certified offices. With administered costs rising at rates </w:t>
      </w:r>
      <w:r w:rsidR="0040505C" w:rsidRPr="00A91E18">
        <w:rPr>
          <w:rFonts w:ascii="Roboto" w:hAnsi="Roboto" w:cstheme="minorHAnsi"/>
          <w:sz w:val="22"/>
          <w:szCs w:val="22"/>
        </w:rPr>
        <w:t>more than</w:t>
      </w:r>
      <w:r w:rsidRPr="00A91E18">
        <w:rPr>
          <w:rFonts w:ascii="Roboto" w:hAnsi="Roboto" w:cstheme="minorHAnsi"/>
          <w:sz w:val="22"/>
          <w:szCs w:val="22"/>
        </w:rPr>
        <w:t xml:space="preserve"> inflation</w:t>
      </w:r>
      <w:r w:rsidR="005B2A67" w:rsidRPr="00A91E18">
        <w:rPr>
          <w:rFonts w:ascii="Roboto" w:hAnsi="Roboto" w:cstheme="minorHAnsi"/>
          <w:sz w:val="22"/>
          <w:szCs w:val="22"/>
        </w:rPr>
        <w:t xml:space="preserve">, these costs can have a significant impact on performance over the lifecycle of a property. </w:t>
      </w:r>
      <w:r w:rsidR="00607221" w:rsidRPr="00A91E18">
        <w:rPr>
          <w:rFonts w:ascii="Roboto" w:hAnsi="Roboto" w:cstheme="minorHAnsi"/>
          <w:sz w:val="22"/>
          <w:szCs w:val="22"/>
        </w:rPr>
        <w:t>In 2022</w:t>
      </w:r>
      <w:r w:rsidR="005B2A67" w:rsidRPr="00A91E18">
        <w:rPr>
          <w:rFonts w:ascii="Roboto" w:hAnsi="Roboto" w:cstheme="minorHAnsi"/>
          <w:sz w:val="22"/>
          <w:szCs w:val="22"/>
        </w:rPr>
        <w:t>, the green-certified office sample</w:t>
      </w:r>
      <w:r w:rsidR="005138A6" w:rsidRPr="00A91E18">
        <w:rPr>
          <w:rFonts w:ascii="Roboto" w:hAnsi="Roboto" w:cstheme="minorHAnsi"/>
          <w:sz w:val="22"/>
          <w:szCs w:val="22"/>
        </w:rPr>
        <w:t xml:space="preserve">’s gross cost to income ratio was </w:t>
      </w:r>
      <w:r w:rsidR="00F95D9A" w:rsidRPr="00A91E18">
        <w:rPr>
          <w:rFonts w:ascii="Roboto" w:hAnsi="Roboto" w:cstheme="minorHAnsi"/>
          <w:sz w:val="22"/>
          <w:szCs w:val="22"/>
        </w:rPr>
        <w:t xml:space="preserve">39.7%, substantially lower than the 43.0% of </w:t>
      </w:r>
      <w:r w:rsidR="008D667B" w:rsidRPr="00A91E18">
        <w:rPr>
          <w:rFonts w:ascii="Roboto" w:hAnsi="Roboto" w:cstheme="minorHAnsi"/>
          <w:sz w:val="22"/>
          <w:szCs w:val="22"/>
        </w:rPr>
        <w:t xml:space="preserve">the non-certified subset. </w:t>
      </w:r>
      <w:r w:rsidR="00A9224B" w:rsidRPr="00A91E18">
        <w:rPr>
          <w:rFonts w:ascii="Roboto" w:hAnsi="Roboto" w:cstheme="minorHAnsi"/>
          <w:sz w:val="22"/>
          <w:szCs w:val="22"/>
        </w:rPr>
        <w:t xml:space="preserve">As a result, green </w:t>
      </w:r>
      <w:r w:rsidR="00A9224B" w:rsidRPr="00A91E18">
        <w:rPr>
          <w:rFonts w:ascii="Roboto" w:hAnsi="Roboto" w:cstheme="minorHAnsi"/>
          <w:sz w:val="22"/>
          <w:szCs w:val="22"/>
        </w:rPr>
        <w:lastRenderedPageBreak/>
        <w:t xml:space="preserve">offices </w:t>
      </w:r>
      <w:r w:rsidR="005B2A67" w:rsidRPr="00A91E18">
        <w:rPr>
          <w:rFonts w:ascii="Roboto" w:hAnsi="Roboto" w:cstheme="minorHAnsi"/>
          <w:sz w:val="22"/>
          <w:szCs w:val="22"/>
        </w:rPr>
        <w:t xml:space="preserve">had a </w:t>
      </w:r>
      <w:r w:rsidR="00DE381E" w:rsidRPr="00A91E18">
        <w:rPr>
          <w:rFonts w:ascii="Roboto" w:hAnsi="Roboto" w:cstheme="minorHAnsi"/>
          <w:sz w:val="22"/>
          <w:szCs w:val="22"/>
        </w:rPr>
        <w:t>2</w:t>
      </w:r>
      <w:r w:rsidR="005B2A67" w:rsidRPr="00A91E18">
        <w:rPr>
          <w:rFonts w:ascii="Roboto" w:hAnsi="Roboto" w:cstheme="minorHAnsi"/>
          <w:sz w:val="22"/>
          <w:szCs w:val="22"/>
        </w:rPr>
        <w:t xml:space="preserve">0bp lower </w:t>
      </w:r>
      <w:r w:rsidR="00DE381E" w:rsidRPr="00A91E18">
        <w:rPr>
          <w:rFonts w:ascii="Roboto" w:hAnsi="Roboto" w:cstheme="minorHAnsi"/>
          <w:sz w:val="22"/>
          <w:szCs w:val="22"/>
        </w:rPr>
        <w:t>capitalisation</w:t>
      </w:r>
      <w:r w:rsidR="005B2A67" w:rsidRPr="00A91E18">
        <w:rPr>
          <w:rFonts w:ascii="Roboto" w:hAnsi="Roboto" w:cstheme="minorHAnsi"/>
          <w:sz w:val="22"/>
          <w:szCs w:val="22"/>
        </w:rPr>
        <w:t xml:space="preserve"> rate</w:t>
      </w:r>
      <w:r w:rsidR="00BC3416" w:rsidRPr="00A91E18">
        <w:rPr>
          <w:rFonts w:ascii="Roboto" w:hAnsi="Roboto" w:cstheme="minorHAnsi"/>
          <w:sz w:val="22"/>
          <w:szCs w:val="22"/>
        </w:rPr>
        <w:t xml:space="preserve"> and</w:t>
      </w:r>
      <w:r w:rsidR="00DE381E" w:rsidRPr="00A91E18">
        <w:rPr>
          <w:rFonts w:ascii="Roboto" w:hAnsi="Roboto" w:cstheme="minorHAnsi"/>
          <w:sz w:val="22"/>
          <w:szCs w:val="22"/>
        </w:rPr>
        <w:t xml:space="preserve"> a</w:t>
      </w:r>
      <w:r w:rsidR="00F7767C" w:rsidRPr="00A91E18">
        <w:rPr>
          <w:rFonts w:ascii="Roboto" w:hAnsi="Roboto" w:cstheme="minorHAnsi"/>
          <w:sz w:val="22"/>
          <w:szCs w:val="22"/>
        </w:rPr>
        <w:t xml:space="preserve"> higher</w:t>
      </w:r>
      <w:r w:rsidR="00DE381E" w:rsidRPr="00A91E18">
        <w:rPr>
          <w:rFonts w:ascii="Roboto" w:hAnsi="Roboto" w:cstheme="minorHAnsi"/>
          <w:sz w:val="22"/>
          <w:szCs w:val="22"/>
        </w:rPr>
        <w:t xml:space="preserve"> forward </w:t>
      </w:r>
      <w:r w:rsidR="00C26D9C" w:rsidRPr="00A91E18">
        <w:rPr>
          <w:rFonts w:ascii="Roboto" w:hAnsi="Roboto" w:cstheme="minorHAnsi"/>
          <w:sz w:val="22"/>
          <w:szCs w:val="22"/>
        </w:rPr>
        <w:t>income</w:t>
      </w:r>
      <w:r w:rsidR="00DE381E" w:rsidRPr="00A91E18">
        <w:rPr>
          <w:rFonts w:ascii="Roboto" w:hAnsi="Roboto" w:cstheme="minorHAnsi"/>
          <w:sz w:val="22"/>
          <w:szCs w:val="22"/>
        </w:rPr>
        <w:t xml:space="preserve"> </w:t>
      </w:r>
      <w:r w:rsidR="00C26D9C" w:rsidRPr="00A91E18">
        <w:rPr>
          <w:rFonts w:ascii="Roboto" w:hAnsi="Roboto" w:cstheme="minorHAnsi"/>
          <w:sz w:val="22"/>
          <w:szCs w:val="22"/>
        </w:rPr>
        <w:t>growt</w:t>
      </w:r>
      <w:r w:rsidR="00607221" w:rsidRPr="00A91E18">
        <w:rPr>
          <w:rFonts w:ascii="Roboto" w:hAnsi="Roboto" w:cstheme="minorHAnsi"/>
          <w:sz w:val="22"/>
          <w:szCs w:val="22"/>
        </w:rPr>
        <w:t>h</w:t>
      </w:r>
      <w:r w:rsidR="005B2A67" w:rsidRPr="00A91E18">
        <w:rPr>
          <w:rFonts w:ascii="Roboto" w:hAnsi="Roboto" w:cstheme="minorHAnsi"/>
          <w:sz w:val="22"/>
          <w:szCs w:val="22"/>
        </w:rPr>
        <w:t xml:space="preserve"> implying that its future cashflows were deemed</w:t>
      </w:r>
      <w:r w:rsidR="00BC3416" w:rsidRPr="00A91E18">
        <w:rPr>
          <w:rFonts w:ascii="Roboto" w:hAnsi="Roboto" w:cstheme="minorHAnsi"/>
          <w:sz w:val="22"/>
          <w:szCs w:val="22"/>
        </w:rPr>
        <w:t xml:space="preserve"> both</w:t>
      </w:r>
      <w:r w:rsidR="005B2A67" w:rsidRPr="00A91E18">
        <w:rPr>
          <w:rFonts w:ascii="Roboto" w:hAnsi="Roboto" w:cstheme="minorHAnsi"/>
          <w:sz w:val="22"/>
          <w:szCs w:val="22"/>
        </w:rPr>
        <w:t xml:space="preserve"> lower risk</w:t>
      </w:r>
      <w:r w:rsidR="00607221" w:rsidRPr="00A91E18">
        <w:rPr>
          <w:rFonts w:ascii="Roboto" w:hAnsi="Roboto" w:cstheme="minorHAnsi"/>
          <w:sz w:val="22"/>
          <w:szCs w:val="22"/>
        </w:rPr>
        <w:t xml:space="preserve"> and likely to grow at a faster rate</w:t>
      </w:r>
      <w:r w:rsidR="005B2A67" w:rsidRPr="00A91E18">
        <w:rPr>
          <w:rFonts w:ascii="Roboto" w:hAnsi="Roboto" w:cstheme="minorHAnsi"/>
          <w:sz w:val="22"/>
          <w:szCs w:val="22"/>
        </w:rPr>
        <w:t>.</w:t>
      </w:r>
    </w:p>
    <w:p w14:paraId="23C0E6EA" w14:textId="77777777" w:rsidR="00C65E40" w:rsidRPr="00A91E18" w:rsidRDefault="00C65E40" w:rsidP="00EA234E">
      <w:pPr>
        <w:spacing w:after="120" w:line="264" w:lineRule="auto"/>
        <w:rPr>
          <w:rFonts w:ascii="Roboto" w:hAnsi="Roboto" w:cstheme="minorHAnsi"/>
          <w:sz w:val="22"/>
          <w:szCs w:val="22"/>
        </w:rPr>
      </w:pPr>
    </w:p>
    <w:p w14:paraId="41DF5FA0" w14:textId="3EA77DA5" w:rsidR="0059386A" w:rsidRPr="00A91E18" w:rsidRDefault="00BC3414" w:rsidP="00CE6ED3">
      <w:pPr>
        <w:spacing w:after="120" w:line="264" w:lineRule="auto"/>
        <w:rPr>
          <w:rFonts w:ascii="Roboto" w:hAnsi="Roboto" w:cstheme="minorHAnsi"/>
          <w:b/>
          <w:bCs/>
        </w:rPr>
      </w:pPr>
      <w:r w:rsidRPr="00A91E18">
        <w:rPr>
          <w:rFonts w:ascii="Roboto" w:hAnsi="Roboto" w:cstheme="minorHAnsi"/>
          <w:b/>
          <w:bCs/>
        </w:rPr>
        <w:t>Green certified offices better across all measures</w:t>
      </w:r>
    </w:p>
    <w:p w14:paraId="5DDB2209" w14:textId="4701C7A1" w:rsidR="00D8303C" w:rsidRDefault="0059386A" w:rsidP="00CE6ED3">
      <w:pPr>
        <w:spacing w:after="120" w:line="264" w:lineRule="auto"/>
        <w:rPr>
          <w:rFonts w:ascii="Roboto" w:hAnsi="Roboto" w:cstheme="minorHAnsi"/>
          <w:sz w:val="22"/>
          <w:szCs w:val="22"/>
        </w:rPr>
      </w:pPr>
      <w:r w:rsidRPr="00A91E18">
        <w:rPr>
          <w:rFonts w:ascii="Roboto" w:hAnsi="Roboto" w:cstheme="minorHAnsi"/>
          <w:sz w:val="22"/>
          <w:szCs w:val="22"/>
        </w:rPr>
        <w:t xml:space="preserve">Released </w:t>
      </w:r>
      <w:r w:rsidR="00C361DF" w:rsidRPr="00A91E18">
        <w:rPr>
          <w:rFonts w:ascii="Roboto" w:hAnsi="Roboto" w:cstheme="minorHAnsi"/>
          <w:sz w:val="22"/>
          <w:szCs w:val="22"/>
        </w:rPr>
        <w:t xml:space="preserve">in </w:t>
      </w:r>
      <w:r w:rsidR="000614D7">
        <w:rPr>
          <w:rFonts w:ascii="Roboto" w:hAnsi="Roboto" w:cstheme="minorHAnsi"/>
          <w:sz w:val="22"/>
          <w:szCs w:val="22"/>
        </w:rPr>
        <w:t>April</w:t>
      </w:r>
      <w:r w:rsidR="00890159" w:rsidRPr="00A91E18">
        <w:rPr>
          <w:rFonts w:ascii="Roboto" w:hAnsi="Roboto" w:cstheme="minorHAnsi"/>
          <w:sz w:val="22"/>
          <w:szCs w:val="22"/>
        </w:rPr>
        <w:t xml:space="preserve"> </w:t>
      </w:r>
      <w:r w:rsidR="00C361DF" w:rsidRPr="00A91E18">
        <w:rPr>
          <w:rFonts w:ascii="Roboto" w:hAnsi="Roboto" w:cstheme="minorHAnsi"/>
          <w:sz w:val="22"/>
          <w:szCs w:val="22"/>
        </w:rPr>
        <w:t>202</w:t>
      </w:r>
      <w:r w:rsidR="004B2DBA" w:rsidRPr="00A91E18">
        <w:rPr>
          <w:rFonts w:ascii="Roboto" w:hAnsi="Roboto" w:cstheme="minorHAnsi"/>
          <w:sz w:val="22"/>
          <w:szCs w:val="22"/>
        </w:rPr>
        <w:t>3</w:t>
      </w:r>
      <w:r w:rsidRPr="00A91E18">
        <w:rPr>
          <w:rFonts w:ascii="Roboto" w:hAnsi="Roboto" w:cstheme="minorHAnsi"/>
          <w:sz w:val="22"/>
          <w:szCs w:val="22"/>
        </w:rPr>
        <w:t xml:space="preserve">, </w:t>
      </w:r>
      <w:r w:rsidR="00D8303C" w:rsidRPr="00A91E18">
        <w:rPr>
          <w:rFonts w:ascii="Roboto" w:hAnsi="Roboto" w:cstheme="minorHAnsi"/>
          <w:sz w:val="22"/>
          <w:szCs w:val="22"/>
        </w:rPr>
        <w:t xml:space="preserve">the MSCI South Africa Green Annual Property Index demonstrated the </w:t>
      </w:r>
      <w:r w:rsidR="00B55262" w:rsidRPr="00A91E18">
        <w:rPr>
          <w:rFonts w:ascii="Roboto" w:hAnsi="Roboto" w:cstheme="minorHAnsi"/>
          <w:sz w:val="22"/>
          <w:szCs w:val="22"/>
        </w:rPr>
        <w:t>positive relationship</w:t>
      </w:r>
      <w:r w:rsidRPr="00A91E18">
        <w:rPr>
          <w:rFonts w:ascii="Roboto" w:hAnsi="Roboto" w:cstheme="minorHAnsi"/>
          <w:sz w:val="22"/>
          <w:szCs w:val="22"/>
        </w:rPr>
        <w:t xml:space="preserve"> between </w:t>
      </w:r>
      <w:r w:rsidR="00E37D3A" w:rsidRPr="00A91E18">
        <w:rPr>
          <w:rFonts w:ascii="Roboto" w:hAnsi="Roboto" w:cstheme="minorHAnsi"/>
          <w:sz w:val="22"/>
          <w:szCs w:val="22"/>
        </w:rPr>
        <w:t xml:space="preserve">green-certified buildings and investment </w:t>
      </w:r>
      <w:r w:rsidR="00D25834" w:rsidRPr="00A91E18">
        <w:rPr>
          <w:rFonts w:ascii="Roboto" w:hAnsi="Roboto" w:cstheme="minorHAnsi"/>
          <w:sz w:val="22"/>
          <w:szCs w:val="22"/>
        </w:rPr>
        <w:t>returns</w:t>
      </w:r>
      <w:r w:rsidR="00E37D3A" w:rsidRPr="00A91E18">
        <w:rPr>
          <w:rFonts w:ascii="Roboto" w:hAnsi="Roboto" w:cstheme="minorHAnsi"/>
          <w:sz w:val="22"/>
          <w:szCs w:val="22"/>
        </w:rPr>
        <w:t xml:space="preserve"> but also of its </w:t>
      </w:r>
      <w:r w:rsidR="00B55262" w:rsidRPr="00A91E18">
        <w:rPr>
          <w:rFonts w:ascii="Roboto" w:hAnsi="Roboto" w:cstheme="minorHAnsi"/>
          <w:sz w:val="22"/>
          <w:szCs w:val="22"/>
        </w:rPr>
        <w:t xml:space="preserve">impact on property fundamentals </w:t>
      </w:r>
      <w:r w:rsidR="00D25834" w:rsidRPr="00A91E18">
        <w:rPr>
          <w:rFonts w:ascii="Roboto" w:hAnsi="Roboto" w:cstheme="minorHAnsi"/>
          <w:sz w:val="22"/>
          <w:szCs w:val="22"/>
        </w:rPr>
        <w:t>that could underpin future performance.</w:t>
      </w:r>
    </w:p>
    <w:p w14:paraId="07BCAA75" w14:textId="41E7A8E2" w:rsidR="002C6BD2" w:rsidRDefault="002C6BD2" w:rsidP="00CE6ED3">
      <w:pPr>
        <w:spacing w:after="120" w:line="264" w:lineRule="auto"/>
        <w:rPr>
          <w:rFonts w:ascii="Roboto" w:hAnsi="Roboto" w:cstheme="minorHAnsi"/>
          <w:sz w:val="22"/>
          <w:szCs w:val="22"/>
        </w:rPr>
      </w:pPr>
      <w:r w:rsidRPr="006E6341">
        <w:rPr>
          <w:rFonts w:ascii="Roboto" w:hAnsi="Roboto" w:cstheme="minorHAnsi"/>
          <w:sz w:val="22"/>
          <w:szCs w:val="22"/>
        </w:rPr>
        <w:t>“</w:t>
      </w:r>
      <w:r w:rsidR="00826BA3" w:rsidRPr="006E6341">
        <w:rPr>
          <w:rFonts w:ascii="Roboto" w:hAnsi="Roboto" w:cstheme="minorHAnsi"/>
          <w:sz w:val="22"/>
          <w:szCs w:val="22"/>
        </w:rPr>
        <w:t xml:space="preserve">The highlight of these results lies in the reduced cost to income ratios. It shows that through certification, owners can manage costs better because they have future proofed their assets. In the current market where rentals are </w:t>
      </w:r>
      <w:r w:rsidR="006E6341" w:rsidRPr="006E6341">
        <w:rPr>
          <w:rFonts w:ascii="Roboto" w:hAnsi="Roboto" w:cstheme="minorHAnsi"/>
          <w:sz w:val="22"/>
          <w:szCs w:val="22"/>
        </w:rPr>
        <w:t>difficult</w:t>
      </w:r>
      <w:r w:rsidR="00826BA3" w:rsidRPr="006E6341">
        <w:rPr>
          <w:rFonts w:ascii="Roboto" w:hAnsi="Roboto" w:cstheme="minorHAnsi"/>
          <w:sz w:val="22"/>
          <w:szCs w:val="22"/>
        </w:rPr>
        <w:t xml:space="preserve"> to increase, managing costs are more important than ever, especially water and electricity</w:t>
      </w:r>
      <w:r w:rsidR="006E6341" w:rsidRPr="006E6341">
        <w:rPr>
          <w:rFonts w:ascii="Roboto" w:hAnsi="Roboto" w:cstheme="minorHAnsi"/>
          <w:sz w:val="22"/>
          <w:szCs w:val="22"/>
        </w:rPr>
        <w:t>,</w:t>
      </w:r>
      <w:r w:rsidR="00826BA3" w:rsidRPr="006E6341">
        <w:rPr>
          <w:rFonts w:ascii="Roboto" w:hAnsi="Roboto" w:cstheme="minorHAnsi"/>
          <w:sz w:val="22"/>
          <w:szCs w:val="22"/>
        </w:rPr>
        <w:t xml:space="preserve"> so efficien</w:t>
      </w:r>
      <w:r w:rsidR="009574D4">
        <w:rPr>
          <w:rFonts w:ascii="Roboto" w:hAnsi="Roboto" w:cstheme="minorHAnsi"/>
          <w:sz w:val="22"/>
          <w:szCs w:val="22"/>
        </w:rPr>
        <w:t>c</w:t>
      </w:r>
      <w:r w:rsidR="00826BA3" w:rsidRPr="006E6341">
        <w:rPr>
          <w:rFonts w:ascii="Roboto" w:hAnsi="Roboto" w:cstheme="minorHAnsi"/>
          <w:sz w:val="22"/>
          <w:szCs w:val="22"/>
        </w:rPr>
        <w:t>y is paramount</w:t>
      </w:r>
      <w:r w:rsidRPr="006E6341">
        <w:rPr>
          <w:rFonts w:ascii="Roboto" w:hAnsi="Roboto" w:cstheme="minorHAnsi"/>
          <w:sz w:val="22"/>
          <w:szCs w:val="22"/>
        </w:rPr>
        <w:t xml:space="preserve">” </w:t>
      </w:r>
      <w:r w:rsidR="00ED24B6">
        <w:rPr>
          <w:rFonts w:ascii="Roboto" w:hAnsi="Roboto" w:cstheme="minorHAnsi"/>
          <w:sz w:val="22"/>
          <w:szCs w:val="22"/>
        </w:rPr>
        <w:t xml:space="preserve">says </w:t>
      </w:r>
      <w:r w:rsidRPr="006E6341">
        <w:rPr>
          <w:rFonts w:ascii="Roboto" w:hAnsi="Roboto" w:cstheme="minorHAnsi"/>
          <w:sz w:val="22"/>
          <w:szCs w:val="22"/>
        </w:rPr>
        <w:t>Eileen Andrew</w:t>
      </w:r>
      <w:r w:rsidR="00ED24B6">
        <w:rPr>
          <w:rFonts w:ascii="Roboto" w:hAnsi="Roboto" w:cstheme="minorHAnsi"/>
          <w:sz w:val="22"/>
          <w:szCs w:val="22"/>
        </w:rPr>
        <w:t xml:space="preserve"> from MSCI.</w:t>
      </w:r>
    </w:p>
    <w:p w14:paraId="0D0E9EB2" w14:textId="4B2F69CD" w:rsidR="004D718C" w:rsidRDefault="00D96A57" w:rsidP="00CE6ED3">
      <w:pPr>
        <w:spacing w:after="120" w:line="264" w:lineRule="auto"/>
        <w:rPr>
          <w:rFonts w:ascii="Roboto" w:hAnsi="Roboto" w:cstheme="minorHAnsi"/>
          <w:sz w:val="22"/>
          <w:szCs w:val="22"/>
        </w:rPr>
      </w:pPr>
      <w:r w:rsidRPr="00D96A57">
        <w:rPr>
          <w:rFonts w:ascii="Roboto" w:hAnsi="Roboto" w:cstheme="minorHAnsi"/>
          <w:sz w:val="22"/>
          <w:szCs w:val="22"/>
        </w:rPr>
        <w:t>Lisa Reynolds</w:t>
      </w:r>
      <w:r w:rsidR="00585EB4">
        <w:rPr>
          <w:rFonts w:ascii="Roboto" w:hAnsi="Roboto" w:cstheme="minorHAnsi"/>
          <w:sz w:val="22"/>
          <w:szCs w:val="22"/>
        </w:rPr>
        <w:t xml:space="preserve">, </w:t>
      </w:r>
      <w:r>
        <w:rPr>
          <w:rFonts w:ascii="Roboto" w:hAnsi="Roboto" w:cstheme="minorHAnsi"/>
          <w:sz w:val="22"/>
          <w:szCs w:val="22"/>
        </w:rPr>
        <w:t>CEO of GBCSA</w:t>
      </w:r>
      <w:r w:rsidR="00585EB4">
        <w:rPr>
          <w:rFonts w:ascii="Roboto" w:hAnsi="Roboto" w:cstheme="minorHAnsi"/>
          <w:sz w:val="22"/>
          <w:szCs w:val="22"/>
        </w:rPr>
        <w:t>,</w:t>
      </w:r>
      <w:r>
        <w:rPr>
          <w:rFonts w:ascii="Roboto" w:hAnsi="Roboto" w:cstheme="minorHAnsi"/>
          <w:sz w:val="22"/>
          <w:szCs w:val="22"/>
        </w:rPr>
        <w:t xml:space="preserve"> stated that </w:t>
      </w:r>
      <w:r w:rsidR="004D718C">
        <w:rPr>
          <w:rFonts w:ascii="Roboto" w:hAnsi="Roboto" w:cstheme="minorHAnsi"/>
          <w:sz w:val="22"/>
          <w:szCs w:val="22"/>
        </w:rPr>
        <w:t>“In the last few years, the conversation has shifted. Green certified buildings always made business sense due to the</w:t>
      </w:r>
      <w:r>
        <w:rPr>
          <w:rFonts w:ascii="Roboto" w:hAnsi="Roboto" w:cstheme="minorHAnsi"/>
          <w:sz w:val="22"/>
          <w:szCs w:val="22"/>
        </w:rPr>
        <w:t xml:space="preserve"> financial</w:t>
      </w:r>
      <w:r w:rsidR="004D718C">
        <w:rPr>
          <w:rFonts w:ascii="Roboto" w:hAnsi="Roboto" w:cstheme="minorHAnsi"/>
          <w:sz w:val="22"/>
          <w:szCs w:val="22"/>
        </w:rPr>
        <w:t xml:space="preserve"> savings in the utility bills. Currently we add the concepts of risk into the conversations – the risks due to </w:t>
      </w:r>
      <w:r>
        <w:rPr>
          <w:rFonts w:ascii="Roboto" w:hAnsi="Roboto" w:cstheme="minorHAnsi"/>
          <w:sz w:val="22"/>
          <w:szCs w:val="22"/>
        </w:rPr>
        <w:t xml:space="preserve">the impact </w:t>
      </w:r>
      <w:r w:rsidR="004D718C">
        <w:rPr>
          <w:rFonts w:ascii="Roboto" w:hAnsi="Roboto" w:cstheme="minorHAnsi"/>
          <w:sz w:val="22"/>
          <w:szCs w:val="22"/>
        </w:rPr>
        <w:t>climate change, the risks due to the lack of resource security and</w:t>
      </w:r>
      <w:r>
        <w:rPr>
          <w:rFonts w:ascii="Roboto" w:hAnsi="Roboto" w:cstheme="minorHAnsi"/>
          <w:sz w:val="22"/>
          <w:szCs w:val="22"/>
        </w:rPr>
        <w:t>,</w:t>
      </w:r>
      <w:r w:rsidR="004D718C">
        <w:rPr>
          <w:rFonts w:ascii="Roboto" w:hAnsi="Roboto" w:cstheme="minorHAnsi"/>
          <w:sz w:val="22"/>
          <w:szCs w:val="22"/>
        </w:rPr>
        <w:t xml:space="preserve"> </w:t>
      </w:r>
      <w:r>
        <w:rPr>
          <w:rFonts w:ascii="Roboto" w:hAnsi="Roboto" w:cstheme="minorHAnsi"/>
          <w:sz w:val="22"/>
          <w:szCs w:val="22"/>
        </w:rPr>
        <w:t>most importantly, the risk of stranded assets. Certified green buildings play a huge role in mitigating these risks. I believe that this is confirmed by the MSCI results.”</w:t>
      </w:r>
    </w:p>
    <w:p w14:paraId="68C00389" w14:textId="4F9B8E23" w:rsidR="00D3596A" w:rsidRDefault="005150DC" w:rsidP="00E20AA3">
      <w:pPr>
        <w:spacing w:after="120" w:line="276" w:lineRule="auto"/>
        <w:jc w:val="both"/>
        <w:rPr>
          <w:rFonts w:ascii="Roboto" w:hAnsi="Roboto" w:cstheme="minorHAnsi"/>
          <w:sz w:val="22"/>
          <w:szCs w:val="22"/>
        </w:rPr>
      </w:pPr>
      <w:r w:rsidRPr="00D3596A">
        <w:rPr>
          <w:rFonts w:ascii="Roboto" w:hAnsi="Roboto" w:cstheme="minorHAnsi"/>
          <w:sz w:val="22"/>
          <w:szCs w:val="22"/>
        </w:rPr>
        <w:t xml:space="preserve">As a leader in environmentally conscious commercial property development, Growthpoint owns and manages the </w:t>
      </w:r>
      <w:r w:rsidR="00D3596A">
        <w:rPr>
          <w:rFonts w:ascii="Roboto" w:hAnsi="Roboto" w:cstheme="minorHAnsi"/>
          <w:sz w:val="22"/>
          <w:szCs w:val="22"/>
        </w:rPr>
        <w:t>lar</w:t>
      </w:r>
      <w:r w:rsidRPr="00D3596A">
        <w:rPr>
          <w:rFonts w:ascii="Roboto" w:hAnsi="Roboto" w:cstheme="minorHAnsi"/>
          <w:sz w:val="22"/>
          <w:szCs w:val="22"/>
        </w:rPr>
        <w:t>gest portfolio of green-certified buildings in Africa.</w:t>
      </w:r>
      <w:r w:rsidR="005D6A46" w:rsidRPr="00D3596A">
        <w:rPr>
          <w:rFonts w:ascii="Roboto" w:hAnsi="Roboto" w:cstheme="minorHAnsi"/>
          <w:sz w:val="22"/>
          <w:szCs w:val="22"/>
        </w:rPr>
        <w:t xml:space="preserve"> Its g</w:t>
      </w:r>
      <w:r w:rsidR="005D6A46" w:rsidRPr="00E20AA3">
        <w:rPr>
          <w:rFonts w:ascii="Roboto" w:hAnsi="Roboto"/>
          <w:sz w:val="22"/>
          <w:szCs w:val="22"/>
        </w:rPr>
        <w:t xml:space="preserve">reen buildings contribute to greater climate change resilience and reduce its carbon footprint as it continues to strive </w:t>
      </w:r>
      <w:r w:rsidR="005D6A46" w:rsidRPr="00E20AA3">
        <w:rPr>
          <w:rFonts w:ascii="Roboto" w:eastAsia="Times New Roman" w:hAnsi="Roboto" w:cs="Times New Roman"/>
          <w:color w:val="212B35"/>
          <w:sz w:val="22"/>
          <w:szCs w:val="22"/>
          <w:lang w:eastAsia="en-GB"/>
        </w:rPr>
        <w:t xml:space="preserve">for excellent environmental, social and governance (ESG) performance. </w:t>
      </w:r>
      <w:r w:rsidR="005D6A46" w:rsidRPr="00E20AA3">
        <w:rPr>
          <w:rFonts w:ascii="Roboto" w:hAnsi="Roboto"/>
          <w:sz w:val="22"/>
          <w:szCs w:val="22"/>
        </w:rPr>
        <w:t xml:space="preserve">Growthpoint’s sustainability strategy is to certify its entire portfolio of buildings as carbon neutral by 2050. </w:t>
      </w:r>
    </w:p>
    <w:p w14:paraId="2B491518" w14:textId="2814C0F6" w:rsidR="00D3596A" w:rsidRDefault="00D3596A" w:rsidP="00D3596A">
      <w:pPr>
        <w:spacing w:after="120" w:line="276" w:lineRule="auto"/>
        <w:jc w:val="both"/>
        <w:rPr>
          <w:rFonts w:ascii="Roboto" w:hAnsi="Roboto" w:cstheme="minorHAnsi"/>
          <w:sz w:val="22"/>
          <w:szCs w:val="22"/>
        </w:rPr>
      </w:pPr>
      <w:r w:rsidRPr="00E20AA3">
        <w:rPr>
          <w:rFonts w:ascii="Roboto" w:hAnsi="Roboto"/>
          <w:sz w:val="22"/>
          <w:szCs w:val="22"/>
        </w:rPr>
        <w:t xml:space="preserve">Growthpoint’s Head of Sustainability and Utilities, Grahame Cruickshanks says, </w:t>
      </w:r>
      <w:r w:rsidR="00890159" w:rsidRPr="00D3596A">
        <w:rPr>
          <w:rFonts w:ascii="Roboto" w:hAnsi="Roboto" w:cstheme="minorHAnsi"/>
          <w:sz w:val="22"/>
          <w:szCs w:val="22"/>
        </w:rPr>
        <w:t>“</w:t>
      </w:r>
      <w:r w:rsidR="005150DC" w:rsidRPr="00D3596A">
        <w:rPr>
          <w:rFonts w:ascii="Roboto" w:hAnsi="Roboto" w:cstheme="minorHAnsi"/>
          <w:sz w:val="22"/>
          <w:szCs w:val="22"/>
        </w:rPr>
        <w:t xml:space="preserve">In addition to </w:t>
      </w:r>
      <w:r w:rsidR="00962E1C">
        <w:rPr>
          <w:rFonts w:ascii="Roboto" w:hAnsi="Roboto" w:cstheme="minorHAnsi"/>
          <w:sz w:val="22"/>
          <w:szCs w:val="22"/>
        </w:rPr>
        <w:t xml:space="preserve">the </w:t>
      </w:r>
      <w:r w:rsidR="005150DC" w:rsidRPr="00D3596A">
        <w:rPr>
          <w:rFonts w:ascii="Roboto" w:hAnsi="Roboto" w:cstheme="minorHAnsi"/>
          <w:sz w:val="22"/>
          <w:szCs w:val="22"/>
        </w:rPr>
        <w:t>financial, operational and risk-mitigating advantages</w:t>
      </w:r>
      <w:r w:rsidR="00962E1C">
        <w:rPr>
          <w:rFonts w:ascii="Roboto" w:hAnsi="Roboto" w:cstheme="minorHAnsi"/>
          <w:sz w:val="22"/>
          <w:szCs w:val="22"/>
        </w:rPr>
        <w:t xml:space="preserve"> demonstrated by the MSCI index</w:t>
      </w:r>
      <w:r w:rsidR="005150DC" w:rsidRPr="00D3596A">
        <w:rPr>
          <w:rFonts w:ascii="Roboto" w:hAnsi="Roboto" w:cstheme="minorHAnsi"/>
          <w:sz w:val="22"/>
          <w:szCs w:val="22"/>
        </w:rPr>
        <w:t xml:space="preserve">, green buildings are </w:t>
      </w:r>
      <w:r w:rsidR="005D6A46" w:rsidRPr="00D3596A">
        <w:rPr>
          <w:rFonts w:ascii="Roboto" w:hAnsi="Roboto" w:cstheme="minorHAnsi"/>
          <w:sz w:val="22"/>
          <w:szCs w:val="22"/>
        </w:rPr>
        <w:t xml:space="preserve">essential </w:t>
      </w:r>
      <w:r w:rsidR="005150DC" w:rsidRPr="00D3596A">
        <w:rPr>
          <w:rFonts w:ascii="Roboto" w:hAnsi="Roboto" w:cstheme="minorHAnsi"/>
          <w:sz w:val="22"/>
          <w:szCs w:val="22"/>
        </w:rPr>
        <w:t xml:space="preserve">for </w:t>
      </w:r>
      <w:r w:rsidR="0067383E" w:rsidRPr="00D3596A">
        <w:rPr>
          <w:rFonts w:ascii="Roboto" w:hAnsi="Roboto" w:cstheme="minorHAnsi"/>
          <w:sz w:val="22"/>
          <w:szCs w:val="22"/>
        </w:rPr>
        <w:t>organisations</w:t>
      </w:r>
      <w:r w:rsidR="005150DC" w:rsidRPr="00D3596A">
        <w:rPr>
          <w:rFonts w:ascii="Roboto" w:hAnsi="Roboto" w:cstheme="minorHAnsi"/>
          <w:sz w:val="22"/>
          <w:szCs w:val="22"/>
        </w:rPr>
        <w:t xml:space="preserve"> – both landlords and tenants – </w:t>
      </w:r>
      <w:r w:rsidR="0067383E" w:rsidRPr="00D3596A">
        <w:rPr>
          <w:rFonts w:ascii="Roboto" w:hAnsi="Roboto" w:cstheme="minorHAnsi"/>
          <w:sz w:val="22"/>
          <w:szCs w:val="22"/>
        </w:rPr>
        <w:t xml:space="preserve">to meet </w:t>
      </w:r>
      <w:r w:rsidR="005150DC" w:rsidRPr="00D3596A">
        <w:rPr>
          <w:rFonts w:ascii="Roboto" w:hAnsi="Roboto" w:cstheme="minorHAnsi"/>
          <w:sz w:val="22"/>
          <w:szCs w:val="22"/>
        </w:rPr>
        <w:t>their ESG commitments.</w:t>
      </w:r>
      <w:r w:rsidR="00962E1C" w:rsidRPr="00962E1C">
        <w:t xml:space="preserve"> </w:t>
      </w:r>
      <w:r w:rsidR="00962E1C">
        <w:rPr>
          <w:rFonts w:ascii="Roboto" w:hAnsi="Roboto" w:cstheme="minorHAnsi"/>
          <w:sz w:val="22"/>
          <w:szCs w:val="22"/>
        </w:rPr>
        <w:t xml:space="preserve">Growthpoint </w:t>
      </w:r>
      <w:r w:rsidR="00962E1C" w:rsidRPr="00962E1C">
        <w:rPr>
          <w:rFonts w:ascii="Roboto" w:hAnsi="Roboto" w:cstheme="minorHAnsi"/>
          <w:sz w:val="22"/>
          <w:szCs w:val="22"/>
        </w:rPr>
        <w:t>invest</w:t>
      </w:r>
      <w:r w:rsidR="00962E1C">
        <w:rPr>
          <w:rFonts w:ascii="Roboto" w:hAnsi="Roboto" w:cstheme="minorHAnsi"/>
          <w:sz w:val="22"/>
          <w:szCs w:val="22"/>
        </w:rPr>
        <w:t>s</w:t>
      </w:r>
      <w:r w:rsidR="00962E1C" w:rsidRPr="00962E1C">
        <w:rPr>
          <w:rFonts w:ascii="Roboto" w:hAnsi="Roboto" w:cstheme="minorHAnsi"/>
          <w:sz w:val="22"/>
          <w:szCs w:val="22"/>
        </w:rPr>
        <w:t xml:space="preserve"> in green buildings because it is the right thing to do for</w:t>
      </w:r>
      <w:r w:rsidR="00962E1C">
        <w:rPr>
          <w:rFonts w:ascii="Roboto" w:hAnsi="Roboto" w:cstheme="minorHAnsi"/>
          <w:sz w:val="22"/>
          <w:szCs w:val="22"/>
        </w:rPr>
        <w:t xml:space="preserve"> </w:t>
      </w:r>
      <w:r w:rsidR="00962E1C" w:rsidRPr="00962E1C">
        <w:rPr>
          <w:rFonts w:ascii="Roboto" w:hAnsi="Roboto" w:cstheme="minorHAnsi"/>
          <w:sz w:val="22"/>
          <w:szCs w:val="22"/>
        </w:rPr>
        <w:t>environmental</w:t>
      </w:r>
      <w:r w:rsidR="00962E1C">
        <w:rPr>
          <w:rFonts w:ascii="Roboto" w:hAnsi="Roboto" w:cstheme="minorHAnsi"/>
          <w:sz w:val="22"/>
          <w:szCs w:val="22"/>
        </w:rPr>
        <w:t xml:space="preserve"> sustainability and </w:t>
      </w:r>
      <w:r w:rsidR="00962E1C" w:rsidRPr="00962E1C">
        <w:rPr>
          <w:rFonts w:ascii="Roboto" w:hAnsi="Roboto" w:cstheme="minorHAnsi"/>
          <w:sz w:val="22"/>
          <w:szCs w:val="22"/>
        </w:rPr>
        <w:t>South Africa</w:t>
      </w:r>
      <w:r w:rsidR="00962E1C">
        <w:rPr>
          <w:rFonts w:ascii="Roboto" w:hAnsi="Roboto" w:cstheme="minorHAnsi"/>
          <w:sz w:val="22"/>
          <w:szCs w:val="22"/>
        </w:rPr>
        <w:t>’s green economy growth</w:t>
      </w:r>
      <w:r w:rsidR="00962E1C" w:rsidRPr="00962E1C">
        <w:rPr>
          <w:rFonts w:ascii="Roboto" w:hAnsi="Roboto" w:cstheme="minorHAnsi"/>
          <w:sz w:val="22"/>
          <w:szCs w:val="22"/>
        </w:rPr>
        <w:t>.</w:t>
      </w:r>
      <w:r w:rsidR="00962E1C">
        <w:rPr>
          <w:rFonts w:ascii="Roboto" w:hAnsi="Roboto" w:cstheme="minorHAnsi"/>
          <w:sz w:val="22"/>
          <w:szCs w:val="22"/>
        </w:rPr>
        <w:t>”</w:t>
      </w:r>
    </w:p>
    <w:p w14:paraId="12888D87" w14:textId="27A235A1" w:rsidR="0075774D" w:rsidRPr="00E20AA3" w:rsidRDefault="005150DC" w:rsidP="00E20AA3">
      <w:pPr>
        <w:spacing w:after="120" w:line="264" w:lineRule="auto"/>
        <w:jc w:val="center"/>
        <w:rPr>
          <w:rFonts w:ascii="Roboto" w:hAnsi="Roboto" w:cstheme="minorHAnsi"/>
          <w:b/>
          <w:bCs/>
          <w:sz w:val="22"/>
          <w:szCs w:val="22"/>
        </w:rPr>
      </w:pPr>
      <w:r w:rsidRPr="00E20AA3">
        <w:rPr>
          <w:rFonts w:ascii="Roboto" w:hAnsi="Roboto" w:cstheme="minorHAnsi"/>
          <w:b/>
          <w:bCs/>
          <w:sz w:val="22"/>
          <w:szCs w:val="22"/>
        </w:rPr>
        <w:t>/ends</w:t>
      </w:r>
    </w:p>
    <w:p w14:paraId="549DE70C" w14:textId="31D3D637" w:rsidR="005150DC" w:rsidRDefault="00522357" w:rsidP="00CE6ED3">
      <w:pPr>
        <w:spacing w:after="120" w:line="264" w:lineRule="auto"/>
        <w:rPr>
          <w:rFonts w:ascii="Arial" w:eastAsia="Times New Roman" w:hAnsi="Arial" w:cs="Arial"/>
        </w:rPr>
      </w:pPr>
      <w:r>
        <w:rPr>
          <w:rFonts w:ascii="Roboto" w:hAnsi="Roboto" w:cstheme="minorHAnsi"/>
          <w:sz w:val="22"/>
          <w:szCs w:val="22"/>
        </w:rPr>
        <w:t>Link to the</w:t>
      </w:r>
      <w:r w:rsidR="000114D4">
        <w:rPr>
          <w:rFonts w:ascii="Roboto" w:hAnsi="Roboto" w:cstheme="minorHAnsi"/>
          <w:sz w:val="22"/>
          <w:szCs w:val="22"/>
        </w:rPr>
        <w:t xml:space="preserve"> MSCI SA Green Property Index</w:t>
      </w:r>
      <w:r>
        <w:rPr>
          <w:rFonts w:ascii="Roboto" w:hAnsi="Roboto" w:cstheme="minorHAnsi"/>
          <w:sz w:val="22"/>
          <w:szCs w:val="22"/>
        </w:rPr>
        <w:t xml:space="preserve"> factsheet: </w:t>
      </w:r>
      <w:hyperlink r:id="rId9" w:history="1">
        <w:r w:rsidRPr="00522357">
          <w:rPr>
            <w:rFonts w:ascii="Arial" w:eastAsia="Times New Roman" w:hAnsi="Arial" w:cs="Arial"/>
            <w:color w:val="0563C1"/>
            <w:u w:val="single"/>
          </w:rPr>
          <w:t>https://www.msci.com/www/ipd-factsheets/msci-south-africa-green-annual/0163242457</w:t>
        </w:r>
      </w:hyperlink>
      <w:r>
        <w:rPr>
          <w:rFonts w:ascii="Arial" w:eastAsia="Times New Roman" w:hAnsi="Arial" w:cs="Arial"/>
        </w:rPr>
        <w:t xml:space="preserve"> </w:t>
      </w:r>
    </w:p>
    <w:p w14:paraId="66D17D38" w14:textId="14C8C524" w:rsidR="0075774D" w:rsidRDefault="0075774D" w:rsidP="00CE6ED3">
      <w:pPr>
        <w:spacing w:after="120" w:line="264" w:lineRule="auto"/>
        <w:rPr>
          <w:rFonts w:ascii="Roboto" w:hAnsi="Roboto" w:cstheme="minorHAnsi"/>
          <w:sz w:val="22"/>
          <w:szCs w:val="22"/>
        </w:rPr>
      </w:pPr>
      <w:r w:rsidRPr="00366E6B">
        <w:rPr>
          <w:rFonts w:ascii="Roboto" w:hAnsi="Roboto" w:cstheme="minorHAnsi"/>
          <w:sz w:val="22"/>
          <w:szCs w:val="22"/>
        </w:rPr>
        <w:t xml:space="preserve">Image caption: </w:t>
      </w:r>
      <w:r w:rsidR="00366E6B" w:rsidRPr="00366E6B">
        <w:rPr>
          <w:rFonts w:ascii="Roboto" w:hAnsi="Roboto" w:cstheme="minorHAnsi"/>
          <w:sz w:val="22"/>
          <w:szCs w:val="22"/>
        </w:rPr>
        <w:t>144 Oxford - Growthpoint owned, 5-Star Green Star Office Design v1.1 rated, Prime, A-Grade offices</w:t>
      </w:r>
    </w:p>
    <w:p w14:paraId="6A64A4AB" w14:textId="77777777" w:rsidR="005150DC" w:rsidRPr="003F1481" w:rsidRDefault="005150DC" w:rsidP="005150DC">
      <w:pPr>
        <w:pStyle w:val="NormalWeb"/>
        <w:rPr>
          <w:rFonts w:ascii="Roboto" w:eastAsiaTheme="minorEastAsia" w:hAnsi="Roboto" w:cstheme="minorHAnsi"/>
          <w:sz w:val="22"/>
          <w:szCs w:val="22"/>
          <w:lang w:val="en-GB" w:eastAsia="en-US"/>
        </w:rPr>
      </w:pPr>
      <w:r w:rsidRPr="003F1481">
        <w:rPr>
          <w:rFonts w:ascii="Roboto" w:eastAsiaTheme="minorEastAsia" w:hAnsi="Roboto" w:cstheme="minorHAnsi"/>
          <w:b/>
          <w:bCs/>
          <w:sz w:val="22"/>
          <w:szCs w:val="22"/>
          <w:lang w:val="en-GB" w:eastAsia="en-US"/>
        </w:rPr>
        <w:t>ABOUT GROWTHPOINT PROPERTIES:</w:t>
      </w:r>
    </w:p>
    <w:p w14:paraId="320E354C" w14:textId="77777777" w:rsidR="005150DC" w:rsidRPr="003F1481" w:rsidRDefault="005150DC" w:rsidP="005150DC">
      <w:pPr>
        <w:pStyle w:val="NormalWeb"/>
        <w:rPr>
          <w:rFonts w:ascii="Roboto" w:eastAsiaTheme="minorEastAsia" w:hAnsi="Roboto" w:cstheme="minorHAnsi"/>
          <w:sz w:val="22"/>
          <w:szCs w:val="22"/>
          <w:lang w:val="en-GB" w:eastAsia="en-US"/>
        </w:rPr>
      </w:pPr>
      <w:r w:rsidRPr="003F1481">
        <w:rPr>
          <w:rFonts w:ascii="Roboto" w:eastAsiaTheme="minorEastAsia" w:hAnsi="Roboto" w:cstheme="minorHAnsi"/>
          <w:sz w:val="22"/>
          <w:szCs w:val="22"/>
          <w:lang w:val="en-GB" w:eastAsia="en-US"/>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w:t>
      </w:r>
      <w:r w:rsidRPr="003F1481">
        <w:rPr>
          <w:rFonts w:ascii="Roboto" w:eastAsiaTheme="minorEastAsia" w:hAnsi="Roboto" w:cstheme="minorHAnsi"/>
          <w:sz w:val="22"/>
          <w:szCs w:val="22"/>
          <w:lang w:val="en-GB" w:eastAsia="en-US"/>
        </w:rPr>
        <w:lastRenderedPageBreak/>
        <w:t xml:space="preserve">Europe. Growthpoint is 50% co-owner of the V&amp;A Waterfront in Cape Town. Growthpoint is South Africa’s largest primary JSE-listed REIT. It is an established leader in commercial green developments and owns and manages the biggest portfolio of green-certified buildings in Africa. Visit </w:t>
      </w:r>
      <w:hyperlink r:id="rId10" w:history="1">
        <w:r w:rsidRPr="003F1481">
          <w:rPr>
            <w:rFonts w:ascii="Roboto" w:eastAsiaTheme="minorEastAsia" w:hAnsi="Roboto" w:cstheme="minorHAnsi"/>
            <w:sz w:val="22"/>
            <w:szCs w:val="22"/>
            <w:lang w:val="en-GB" w:eastAsia="en-US"/>
          </w:rPr>
          <w:t>growthpoint.co.za</w:t>
        </w:r>
      </w:hyperlink>
      <w:r w:rsidRPr="003F1481">
        <w:rPr>
          <w:rFonts w:ascii="Roboto" w:eastAsiaTheme="minorEastAsia" w:hAnsi="Roboto" w:cstheme="minorHAnsi"/>
          <w:sz w:val="22"/>
          <w:szCs w:val="22"/>
          <w:lang w:val="en-GB" w:eastAsia="en-US"/>
        </w:rPr>
        <w:t xml:space="preserve"> for more information, and connect with Growthpoint on </w:t>
      </w:r>
      <w:hyperlink r:id="rId11" w:history="1">
        <w:r w:rsidRPr="003F1481">
          <w:rPr>
            <w:rFonts w:ascii="Roboto" w:eastAsiaTheme="minorEastAsia" w:hAnsi="Roboto" w:cstheme="minorHAnsi"/>
            <w:sz w:val="22"/>
            <w:szCs w:val="22"/>
            <w:lang w:val="en-GB" w:eastAsia="en-US"/>
          </w:rPr>
          <w:t>Facebook</w:t>
        </w:r>
      </w:hyperlink>
      <w:r w:rsidRPr="003F1481">
        <w:rPr>
          <w:rFonts w:ascii="Roboto" w:eastAsiaTheme="minorEastAsia" w:hAnsi="Roboto" w:cstheme="minorHAnsi"/>
          <w:sz w:val="22"/>
          <w:szCs w:val="22"/>
          <w:lang w:val="en-GB" w:eastAsia="en-US"/>
        </w:rPr>
        <w:t xml:space="preserve">, </w:t>
      </w:r>
      <w:hyperlink r:id="rId12" w:history="1">
        <w:r w:rsidRPr="003F1481">
          <w:rPr>
            <w:rFonts w:ascii="Roboto" w:eastAsiaTheme="minorEastAsia" w:hAnsi="Roboto" w:cstheme="minorHAnsi"/>
            <w:sz w:val="22"/>
            <w:szCs w:val="22"/>
            <w:lang w:val="en-GB" w:eastAsia="en-US"/>
          </w:rPr>
          <w:t>Twitter</w:t>
        </w:r>
      </w:hyperlink>
      <w:r w:rsidRPr="003F1481">
        <w:rPr>
          <w:rFonts w:ascii="Roboto" w:eastAsiaTheme="minorEastAsia" w:hAnsi="Roboto" w:cstheme="minorHAnsi"/>
          <w:sz w:val="22"/>
          <w:szCs w:val="22"/>
          <w:lang w:val="en-GB" w:eastAsia="en-US"/>
        </w:rPr>
        <w:t xml:space="preserve">, </w:t>
      </w:r>
      <w:hyperlink r:id="rId13" w:history="1">
        <w:r w:rsidRPr="003F1481">
          <w:rPr>
            <w:rFonts w:ascii="Roboto" w:eastAsiaTheme="minorEastAsia" w:hAnsi="Roboto" w:cstheme="minorHAnsi"/>
            <w:sz w:val="22"/>
            <w:szCs w:val="22"/>
            <w:lang w:val="en-GB" w:eastAsia="en-US"/>
          </w:rPr>
          <w:t>LinkedIn</w:t>
        </w:r>
      </w:hyperlink>
      <w:r w:rsidRPr="003F1481">
        <w:rPr>
          <w:rFonts w:ascii="Roboto" w:eastAsiaTheme="minorEastAsia" w:hAnsi="Roboto" w:cstheme="minorHAnsi"/>
          <w:sz w:val="22"/>
          <w:szCs w:val="22"/>
          <w:lang w:val="en-GB" w:eastAsia="en-US"/>
        </w:rPr>
        <w:t xml:space="preserve"> and </w:t>
      </w:r>
      <w:hyperlink r:id="rId14" w:history="1">
        <w:r w:rsidRPr="003F1481">
          <w:rPr>
            <w:rFonts w:ascii="Roboto" w:eastAsiaTheme="minorEastAsia" w:hAnsi="Roboto" w:cstheme="minorHAnsi"/>
            <w:sz w:val="22"/>
            <w:szCs w:val="22"/>
            <w:lang w:val="en-GB" w:eastAsia="en-US"/>
          </w:rPr>
          <w:t>YouTube</w:t>
        </w:r>
      </w:hyperlink>
      <w:r w:rsidRPr="003F1481">
        <w:rPr>
          <w:rFonts w:ascii="Roboto" w:eastAsiaTheme="minorEastAsia" w:hAnsi="Roboto" w:cstheme="minorHAnsi"/>
          <w:sz w:val="22"/>
          <w:szCs w:val="22"/>
          <w:lang w:val="en-GB" w:eastAsia="en-US"/>
        </w:rPr>
        <w:t>.</w:t>
      </w:r>
    </w:p>
    <w:p w14:paraId="778F19EB" w14:textId="33310E63" w:rsidR="000614D7" w:rsidRPr="005A5C66" w:rsidRDefault="000614D7" w:rsidP="000614D7">
      <w:pPr>
        <w:spacing w:after="200" w:line="276" w:lineRule="auto"/>
        <w:rPr>
          <w:rFonts w:ascii="Roboto" w:hAnsi="Roboto" w:cstheme="minorHAnsi"/>
          <w:b/>
          <w:bCs/>
          <w:sz w:val="22"/>
          <w:szCs w:val="22"/>
        </w:rPr>
      </w:pPr>
      <w:r w:rsidRPr="005A5C66">
        <w:rPr>
          <w:rFonts w:ascii="Roboto" w:hAnsi="Roboto" w:cstheme="minorHAnsi"/>
          <w:b/>
          <w:bCs/>
          <w:sz w:val="22"/>
          <w:szCs w:val="22"/>
        </w:rPr>
        <w:t>A</w:t>
      </w:r>
      <w:r w:rsidR="005A5C66" w:rsidRPr="005A5C66">
        <w:rPr>
          <w:rFonts w:ascii="Roboto" w:hAnsi="Roboto" w:cstheme="minorHAnsi"/>
          <w:b/>
          <w:bCs/>
          <w:sz w:val="22"/>
          <w:szCs w:val="22"/>
        </w:rPr>
        <w:t>BOUT</w:t>
      </w:r>
      <w:r w:rsidRPr="005A5C66">
        <w:rPr>
          <w:rFonts w:ascii="Roboto" w:hAnsi="Roboto" w:cstheme="minorHAnsi"/>
          <w:b/>
          <w:bCs/>
          <w:sz w:val="22"/>
          <w:szCs w:val="22"/>
        </w:rPr>
        <w:t xml:space="preserve"> MSCI</w:t>
      </w:r>
      <w:r w:rsidR="005A5C66" w:rsidRPr="005A5C66">
        <w:rPr>
          <w:rFonts w:ascii="Roboto" w:hAnsi="Roboto" w:cstheme="minorHAnsi"/>
          <w:b/>
          <w:bCs/>
          <w:sz w:val="22"/>
          <w:szCs w:val="22"/>
        </w:rPr>
        <w:t>:</w:t>
      </w:r>
    </w:p>
    <w:p w14:paraId="47E250BB" w14:textId="77777777" w:rsidR="000614D7" w:rsidRPr="003F1481" w:rsidRDefault="000614D7" w:rsidP="000614D7">
      <w:pPr>
        <w:pStyle w:val="Boilerplate"/>
        <w:ind w:right="0"/>
        <w:rPr>
          <w:rFonts w:ascii="Roboto" w:eastAsiaTheme="minorEastAsia" w:hAnsi="Roboto" w:cstheme="minorHAnsi"/>
          <w:color w:val="auto"/>
          <w:sz w:val="22"/>
          <w:szCs w:val="22"/>
          <w:lang w:val="en-GB"/>
        </w:rPr>
      </w:pPr>
      <w:r w:rsidRPr="003F1481">
        <w:rPr>
          <w:rFonts w:ascii="Roboto" w:eastAsiaTheme="minorEastAsia" w:hAnsi="Roboto" w:cstheme="minorHAnsi"/>
          <w:color w:val="auto"/>
          <w:sz w:val="22"/>
          <w:szCs w:val="22"/>
          <w:lang w:val="en-GB"/>
        </w:rPr>
        <w:t xml:space="preserve">MSCI is a leading provider of critical decision support tools and services for the global investment community. With over 45 years of expertise in research, data and technology, we power better investment decisions by enabling clients to understand and analyze key drivers of risk and return and confidently build more effective portfolios. We create industry-leading research-enhanced solutions that clients use to gain insight into and improve transparency across the investment process. To learn more, please visit </w:t>
      </w:r>
      <w:hyperlink r:id="rId15" w:history="1">
        <w:r w:rsidRPr="003F1481">
          <w:rPr>
            <w:rFonts w:ascii="Roboto" w:eastAsiaTheme="minorEastAsia" w:hAnsi="Roboto" w:cstheme="minorHAnsi"/>
            <w:color w:val="auto"/>
            <w:sz w:val="22"/>
            <w:szCs w:val="22"/>
            <w:lang w:val="en-GB"/>
          </w:rPr>
          <w:t>www.msci.com</w:t>
        </w:r>
      </w:hyperlink>
      <w:r w:rsidRPr="003F1481">
        <w:rPr>
          <w:rFonts w:ascii="Roboto" w:eastAsiaTheme="minorEastAsia" w:hAnsi="Roboto" w:cstheme="minorHAnsi"/>
          <w:color w:val="auto"/>
          <w:sz w:val="22"/>
          <w:szCs w:val="22"/>
          <w:lang w:val="en-GB"/>
        </w:rPr>
        <w:t>.  </w:t>
      </w:r>
    </w:p>
    <w:p w14:paraId="716C6711" w14:textId="77777777" w:rsidR="003F1481" w:rsidRDefault="003F1481" w:rsidP="0035209E">
      <w:pPr>
        <w:rPr>
          <w:rFonts w:ascii="Roboto" w:hAnsi="Roboto" w:cstheme="minorHAnsi"/>
          <w:sz w:val="22"/>
          <w:szCs w:val="22"/>
        </w:rPr>
      </w:pPr>
    </w:p>
    <w:p w14:paraId="405A19FC" w14:textId="5AAAED91" w:rsidR="0035209E" w:rsidRPr="005A5C66" w:rsidRDefault="005A5C66" w:rsidP="0035209E">
      <w:pPr>
        <w:rPr>
          <w:rFonts w:ascii="Roboto" w:hAnsi="Roboto" w:cstheme="minorHAnsi"/>
          <w:b/>
          <w:bCs/>
          <w:sz w:val="22"/>
          <w:szCs w:val="22"/>
        </w:rPr>
      </w:pPr>
      <w:r w:rsidRPr="005A5C66">
        <w:rPr>
          <w:rFonts w:ascii="Roboto" w:hAnsi="Roboto" w:cstheme="minorHAnsi"/>
          <w:b/>
          <w:bCs/>
          <w:sz w:val="22"/>
          <w:szCs w:val="22"/>
        </w:rPr>
        <w:t>ABOUT GREEN BUILDING COUNCIL SOUTH AFRICA</w:t>
      </w:r>
      <w:r w:rsidR="0035209E" w:rsidRPr="005A5C66">
        <w:rPr>
          <w:rFonts w:ascii="Roboto" w:hAnsi="Roboto" w:cstheme="minorHAnsi"/>
          <w:b/>
          <w:bCs/>
          <w:sz w:val="22"/>
          <w:szCs w:val="22"/>
        </w:rPr>
        <w:t xml:space="preserve"> (GBCSA)</w:t>
      </w:r>
      <w:r w:rsidRPr="005A5C66">
        <w:rPr>
          <w:rFonts w:ascii="Roboto" w:hAnsi="Roboto" w:cstheme="minorHAnsi"/>
          <w:b/>
          <w:bCs/>
          <w:sz w:val="22"/>
          <w:szCs w:val="22"/>
        </w:rPr>
        <w:t>:</w:t>
      </w:r>
    </w:p>
    <w:p w14:paraId="5BA3A499" w14:textId="77777777" w:rsidR="0035209E" w:rsidRPr="003F1481" w:rsidRDefault="0035209E" w:rsidP="0035209E">
      <w:pPr>
        <w:rPr>
          <w:rFonts w:ascii="Roboto" w:hAnsi="Roboto" w:cstheme="minorHAnsi"/>
          <w:sz w:val="22"/>
          <w:szCs w:val="22"/>
        </w:rPr>
      </w:pPr>
    </w:p>
    <w:p w14:paraId="684F97B8" w14:textId="5A853BE3" w:rsidR="0035209E" w:rsidRPr="003F1481" w:rsidRDefault="0035209E" w:rsidP="0035209E">
      <w:pPr>
        <w:rPr>
          <w:rFonts w:ascii="Roboto" w:hAnsi="Roboto" w:cstheme="minorHAnsi"/>
          <w:sz w:val="22"/>
          <w:szCs w:val="22"/>
        </w:rPr>
      </w:pPr>
      <w:r w:rsidRPr="003F1481">
        <w:rPr>
          <w:rFonts w:ascii="Roboto" w:hAnsi="Roboto" w:cstheme="minorHAnsi"/>
          <w:sz w:val="22"/>
          <w:szCs w:val="22"/>
        </w:rPr>
        <w:t>The GBCSA works with its membership community to transform the built environment for people and planet to thrive.</w:t>
      </w:r>
      <w:r w:rsidR="003F1481" w:rsidRPr="003F1481">
        <w:rPr>
          <w:rFonts w:ascii="Roboto" w:hAnsi="Roboto" w:cstheme="minorHAnsi"/>
          <w:sz w:val="22"/>
          <w:szCs w:val="22"/>
        </w:rPr>
        <w:t xml:space="preserve">  </w:t>
      </w:r>
      <w:r w:rsidRPr="003F1481">
        <w:rPr>
          <w:rFonts w:ascii="Roboto" w:hAnsi="Roboto" w:cstheme="minorHAnsi"/>
          <w:sz w:val="22"/>
          <w:szCs w:val="22"/>
        </w:rPr>
        <w:t xml:space="preserve">We are passionate, collaborative planet shapers that operate across the commercial, residential and public sectors to ensure that buildings and homes are designed, built and operated in an environmentally sustainable way. Our combined influence drives competitive, viable and professional membership advantages. GBCSA’s affiliations enable access to a community of experts at home and abroad.  The GBCSA is one of about 75 members of the World Green Building Council. Together we create a platform for advocacy, training and certification. Visit our website </w:t>
      </w:r>
      <w:hyperlink r:id="rId16" w:history="1">
        <w:r w:rsidR="005D0735" w:rsidRPr="005D0735">
          <w:rPr>
            <w:rStyle w:val="Hyperlink"/>
            <w:rFonts w:ascii="Roboto" w:hAnsi="Roboto" w:cstheme="minorHAnsi"/>
            <w:sz w:val="22"/>
            <w:szCs w:val="22"/>
          </w:rPr>
          <w:t>gbcsa.org.za</w:t>
        </w:r>
      </w:hyperlink>
      <w:r w:rsidR="005D0735" w:rsidRPr="005D0735">
        <w:rPr>
          <w:rFonts w:ascii="Roboto" w:hAnsi="Roboto" w:cstheme="minorHAnsi"/>
          <w:sz w:val="22"/>
          <w:szCs w:val="22"/>
          <w:u w:val="single"/>
        </w:rPr>
        <w:t xml:space="preserve"> or connect on </w:t>
      </w:r>
      <w:hyperlink r:id="rId17" w:history="1">
        <w:r w:rsidR="005D0735" w:rsidRPr="005D0735">
          <w:rPr>
            <w:rStyle w:val="Hyperlink"/>
            <w:rFonts w:ascii="Roboto" w:hAnsi="Roboto" w:cstheme="minorHAnsi"/>
            <w:sz w:val="22"/>
            <w:szCs w:val="22"/>
          </w:rPr>
          <w:t>LinkedIn</w:t>
        </w:r>
      </w:hyperlink>
      <w:r w:rsidR="005D0735" w:rsidRPr="005D0735">
        <w:rPr>
          <w:rFonts w:ascii="Roboto" w:hAnsi="Roboto" w:cstheme="minorHAnsi"/>
          <w:sz w:val="22"/>
          <w:szCs w:val="22"/>
          <w:u w:val="single"/>
        </w:rPr>
        <w:t xml:space="preserve">, </w:t>
      </w:r>
      <w:hyperlink r:id="rId18" w:history="1">
        <w:r w:rsidR="005D0735" w:rsidRPr="005D0735">
          <w:rPr>
            <w:rStyle w:val="Hyperlink"/>
            <w:rFonts w:ascii="Roboto" w:hAnsi="Roboto" w:cstheme="minorHAnsi"/>
            <w:sz w:val="22"/>
            <w:szCs w:val="22"/>
          </w:rPr>
          <w:t>Instagram</w:t>
        </w:r>
      </w:hyperlink>
      <w:r w:rsidR="005D0735" w:rsidRPr="005D0735">
        <w:rPr>
          <w:rFonts w:ascii="Roboto" w:hAnsi="Roboto" w:cstheme="minorHAnsi"/>
          <w:sz w:val="22"/>
          <w:szCs w:val="22"/>
          <w:u w:val="single"/>
        </w:rPr>
        <w:t xml:space="preserve">, </w:t>
      </w:r>
      <w:hyperlink r:id="rId19" w:history="1">
        <w:r w:rsidR="005D0735" w:rsidRPr="005D0735">
          <w:rPr>
            <w:rStyle w:val="Hyperlink"/>
            <w:rFonts w:ascii="Roboto" w:hAnsi="Roboto" w:cstheme="minorHAnsi"/>
            <w:sz w:val="22"/>
            <w:szCs w:val="22"/>
          </w:rPr>
          <w:t>Facebook</w:t>
        </w:r>
      </w:hyperlink>
      <w:r w:rsidR="005D0735" w:rsidRPr="005D0735">
        <w:rPr>
          <w:rFonts w:ascii="Roboto" w:hAnsi="Roboto" w:cstheme="minorHAnsi"/>
          <w:sz w:val="22"/>
          <w:szCs w:val="22"/>
          <w:u w:val="single"/>
        </w:rPr>
        <w:t xml:space="preserve"> or </w:t>
      </w:r>
      <w:hyperlink r:id="rId20" w:history="1">
        <w:r w:rsidR="005D0735" w:rsidRPr="005D0735">
          <w:rPr>
            <w:rStyle w:val="Hyperlink"/>
            <w:rFonts w:ascii="Roboto" w:hAnsi="Roboto" w:cstheme="minorHAnsi"/>
            <w:sz w:val="22"/>
            <w:szCs w:val="22"/>
          </w:rPr>
          <w:t>Twitter</w:t>
        </w:r>
      </w:hyperlink>
    </w:p>
    <w:p w14:paraId="507C6A39" w14:textId="77777777" w:rsidR="0035209E" w:rsidRPr="003F1481" w:rsidRDefault="0035209E" w:rsidP="0035209E">
      <w:pPr>
        <w:rPr>
          <w:rFonts w:ascii="Roboto" w:hAnsi="Roboto" w:cstheme="minorHAnsi"/>
          <w:sz w:val="22"/>
          <w:szCs w:val="22"/>
        </w:rPr>
      </w:pPr>
    </w:p>
    <w:p w14:paraId="5003FAA0" w14:textId="77777777" w:rsidR="0035209E" w:rsidRPr="003F1481" w:rsidRDefault="0035209E" w:rsidP="0035209E">
      <w:pPr>
        <w:rPr>
          <w:rFonts w:ascii="Roboto" w:hAnsi="Roboto" w:cstheme="minorHAnsi"/>
          <w:sz w:val="22"/>
          <w:szCs w:val="22"/>
        </w:rPr>
      </w:pPr>
      <w:r w:rsidRPr="003F1481">
        <w:rPr>
          <w:rFonts w:ascii="Roboto" w:hAnsi="Roboto" w:cstheme="minorHAnsi"/>
          <w:sz w:val="22"/>
          <w:szCs w:val="22"/>
        </w:rPr>
        <w:t>Media Enquiries:</w:t>
      </w:r>
    </w:p>
    <w:p w14:paraId="43B2B7DF" w14:textId="77777777" w:rsidR="0035209E" w:rsidRPr="003F1481" w:rsidRDefault="0035209E" w:rsidP="0035209E">
      <w:pPr>
        <w:rPr>
          <w:rFonts w:ascii="Roboto" w:hAnsi="Roboto" w:cstheme="minorHAnsi"/>
          <w:sz w:val="22"/>
          <w:szCs w:val="22"/>
        </w:rPr>
      </w:pPr>
    </w:p>
    <w:p w14:paraId="3A44C77E" w14:textId="77777777" w:rsidR="0035209E" w:rsidRPr="003F1481" w:rsidRDefault="0035209E" w:rsidP="0035209E">
      <w:pPr>
        <w:rPr>
          <w:rFonts w:ascii="Roboto" w:hAnsi="Roboto" w:cstheme="minorHAnsi"/>
          <w:sz w:val="22"/>
          <w:szCs w:val="22"/>
        </w:rPr>
      </w:pPr>
      <w:r w:rsidRPr="003F1481">
        <w:rPr>
          <w:rFonts w:ascii="Roboto" w:hAnsi="Roboto" w:cstheme="minorHAnsi"/>
          <w:sz w:val="22"/>
          <w:szCs w:val="22"/>
        </w:rPr>
        <w:t>Anja Thompson | GBCSA</w:t>
      </w:r>
    </w:p>
    <w:p w14:paraId="7BA612AC" w14:textId="77777777" w:rsidR="0035209E" w:rsidRPr="003F1481" w:rsidRDefault="0035209E" w:rsidP="0035209E">
      <w:pPr>
        <w:rPr>
          <w:rFonts w:ascii="Roboto" w:hAnsi="Roboto" w:cstheme="minorHAnsi"/>
          <w:sz w:val="22"/>
          <w:szCs w:val="22"/>
        </w:rPr>
      </w:pPr>
      <w:r w:rsidRPr="003F1481">
        <w:rPr>
          <w:rFonts w:ascii="Roboto" w:hAnsi="Roboto" w:cstheme="minorHAnsi"/>
          <w:sz w:val="22"/>
          <w:szCs w:val="22"/>
        </w:rPr>
        <w:t>083 730 8280</w:t>
      </w:r>
    </w:p>
    <w:p w14:paraId="2D2751E3" w14:textId="77777777" w:rsidR="0035209E" w:rsidRPr="003F1481" w:rsidRDefault="0035209E" w:rsidP="0035209E">
      <w:pPr>
        <w:rPr>
          <w:rFonts w:ascii="Roboto" w:hAnsi="Roboto" w:cstheme="minorHAnsi"/>
          <w:sz w:val="22"/>
          <w:szCs w:val="22"/>
        </w:rPr>
      </w:pPr>
      <w:hyperlink r:id="rId21" w:history="1">
        <w:r w:rsidRPr="003F1481">
          <w:rPr>
            <w:rFonts w:ascii="Roboto" w:hAnsi="Roboto" w:cstheme="minorHAnsi"/>
            <w:sz w:val="22"/>
            <w:szCs w:val="22"/>
          </w:rPr>
          <w:t>anjat@gbcsa.org.za</w:t>
        </w:r>
      </w:hyperlink>
      <w:r w:rsidRPr="003F1481">
        <w:rPr>
          <w:rFonts w:ascii="Roboto" w:hAnsi="Roboto" w:cstheme="minorHAnsi"/>
          <w:sz w:val="22"/>
          <w:szCs w:val="22"/>
        </w:rPr>
        <w:t xml:space="preserve"> </w:t>
      </w:r>
    </w:p>
    <w:p w14:paraId="48A0ECAF" w14:textId="77777777" w:rsidR="000614D7" w:rsidRPr="003F1481" w:rsidRDefault="000614D7" w:rsidP="005150DC">
      <w:pPr>
        <w:pStyle w:val="NormalWeb"/>
        <w:rPr>
          <w:rFonts w:ascii="Roboto" w:eastAsiaTheme="minorEastAsia" w:hAnsi="Roboto" w:cstheme="minorHAnsi"/>
          <w:sz w:val="22"/>
          <w:szCs w:val="22"/>
          <w:lang w:val="en-GB" w:eastAsia="en-US"/>
        </w:rPr>
      </w:pPr>
    </w:p>
    <w:p w14:paraId="10AC5C62" w14:textId="77777777" w:rsidR="005150DC" w:rsidRDefault="005150DC" w:rsidP="00CE6ED3">
      <w:pPr>
        <w:spacing w:after="120" w:line="264" w:lineRule="auto"/>
        <w:rPr>
          <w:rFonts w:ascii="Roboto" w:hAnsi="Roboto" w:cstheme="minorHAnsi"/>
          <w:sz w:val="22"/>
          <w:szCs w:val="22"/>
        </w:rPr>
      </w:pPr>
    </w:p>
    <w:sectPr w:rsidR="005150DC" w:rsidSect="00917AA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C7CB" w14:textId="77777777" w:rsidR="004445C4" w:rsidRDefault="004445C4" w:rsidP="0099011B">
      <w:r>
        <w:separator/>
      </w:r>
    </w:p>
  </w:endnote>
  <w:endnote w:type="continuationSeparator" w:id="0">
    <w:p w14:paraId="66580D5E" w14:textId="77777777" w:rsidR="004445C4" w:rsidRDefault="004445C4" w:rsidP="0099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AD41" w14:textId="4EE765BC" w:rsidR="00C6506B" w:rsidRDefault="000229C2">
    <w:pPr>
      <w:pStyle w:val="Footer"/>
    </w:pPr>
    <w:r>
      <w:rPr>
        <w:noProof/>
      </w:rPr>
      <mc:AlternateContent>
        <mc:Choice Requires="wps">
          <w:drawing>
            <wp:anchor distT="0" distB="0" distL="114300" distR="114300" simplePos="0" relativeHeight="251658240" behindDoc="0" locked="0" layoutInCell="0" allowOverlap="1" wp14:anchorId="1E36CDEB" wp14:editId="6385EE90">
              <wp:simplePos x="0" y="0"/>
              <wp:positionH relativeFrom="page">
                <wp:posOffset>0</wp:posOffset>
              </wp:positionH>
              <wp:positionV relativeFrom="page">
                <wp:posOffset>9594850</wp:posOffset>
              </wp:positionV>
              <wp:extent cx="7772400" cy="273050"/>
              <wp:effectExtent l="0" t="0" r="0" b="12700"/>
              <wp:wrapNone/>
              <wp:docPr id="2" name="MSIPCMfae846db8649098253d8a3f0" descr="{&quot;HashCode&quot;:19400234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6CDEB" id="_x0000_t202" coordsize="21600,21600" o:spt="202" path="m,l,21600r21600,l21600,xe">
              <v:stroke joinstyle="miter"/>
              <v:path gradientshapeok="t" o:connecttype="rect"/>
            </v:shapetype>
            <v:shape id="MSIPCMfae846db8649098253d8a3f0" o:spid="_x0000_s1026" type="#_x0000_t202" alt="{&quot;HashCode&quot;:194002340,&quot;Height&quot;:792.0,&quot;Width&quot;:612.0,&quot;Placement&quot;:&quot;Footer&quot;,&quot;Index&quot;:&quot;Primary&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" o:allowincell="f" filled="f" stroked="f" strokeweight=".5pt">
              <v:textbox inset=",0,,0">
                <w:txbxContent>
                  <w:p w14:paraId="2CCA64ED" w14:textId="30077DBC" w:rsidR="000229C2" w:rsidRPr="00D7097B" w:rsidRDefault="00D7097B" w:rsidP="00D7097B">
                    <w:pPr>
                      <w:jc w:val="center"/>
                      <w:rPr>
                        <w:rFonts w:ascii="Calibri" w:hAnsi="Calibri" w:cs="Calibri"/>
                        <w:color w:val="000000"/>
                        <w:sz w:val="18"/>
                      </w:rPr>
                    </w:pPr>
                    <w:r w:rsidRPr="00D7097B">
                      <w:rPr>
                        <w:rFonts w:ascii="Calibri" w:hAnsi="Calibri" w:cs="Calibri"/>
                        <w:color w:val="000000"/>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527E" w14:textId="77777777" w:rsidR="004445C4" w:rsidRDefault="004445C4" w:rsidP="0099011B">
      <w:r>
        <w:separator/>
      </w:r>
    </w:p>
  </w:footnote>
  <w:footnote w:type="continuationSeparator" w:id="0">
    <w:p w14:paraId="79EABA50" w14:textId="77777777" w:rsidR="004445C4" w:rsidRDefault="004445C4" w:rsidP="00990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6A"/>
    <w:rsid w:val="000114D4"/>
    <w:rsid w:val="000229C2"/>
    <w:rsid w:val="00052732"/>
    <w:rsid w:val="000614D7"/>
    <w:rsid w:val="00071E82"/>
    <w:rsid w:val="000B1CDA"/>
    <w:rsid w:val="000C50FF"/>
    <w:rsid w:val="000F2353"/>
    <w:rsid w:val="000F4934"/>
    <w:rsid w:val="00113DE7"/>
    <w:rsid w:val="001140A0"/>
    <w:rsid w:val="001407F9"/>
    <w:rsid w:val="00145D19"/>
    <w:rsid w:val="00145E27"/>
    <w:rsid w:val="001505F7"/>
    <w:rsid w:val="00172B84"/>
    <w:rsid w:val="00181501"/>
    <w:rsid w:val="001B6039"/>
    <w:rsid w:val="00220FF4"/>
    <w:rsid w:val="00225065"/>
    <w:rsid w:val="002B78D5"/>
    <w:rsid w:val="002C6BD2"/>
    <w:rsid w:val="002D1649"/>
    <w:rsid w:val="002D4FFA"/>
    <w:rsid w:val="002D5D80"/>
    <w:rsid w:val="002D6679"/>
    <w:rsid w:val="003035B5"/>
    <w:rsid w:val="00304823"/>
    <w:rsid w:val="0035209E"/>
    <w:rsid w:val="00352B7E"/>
    <w:rsid w:val="00366E6B"/>
    <w:rsid w:val="00377F16"/>
    <w:rsid w:val="003F1481"/>
    <w:rsid w:val="0040505C"/>
    <w:rsid w:val="0042113F"/>
    <w:rsid w:val="004445C4"/>
    <w:rsid w:val="00460D2D"/>
    <w:rsid w:val="004B2DBA"/>
    <w:rsid w:val="004B4A49"/>
    <w:rsid w:val="004C2882"/>
    <w:rsid w:val="004D718C"/>
    <w:rsid w:val="00500557"/>
    <w:rsid w:val="00503944"/>
    <w:rsid w:val="005138A6"/>
    <w:rsid w:val="005150DC"/>
    <w:rsid w:val="00522357"/>
    <w:rsid w:val="00524F1F"/>
    <w:rsid w:val="00533EC7"/>
    <w:rsid w:val="0054581B"/>
    <w:rsid w:val="005637C3"/>
    <w:rsid w:val="00564788"/>
    <w:rsid w:val="00585EB4"/>
    <w:rsid w:val="0059386A"/>
    <w:rsid w:val="005A5C66"/>
    <w:rsid w:val="005B2A67"/>
    <w:rsid w:val="005D0735"/>
    <w:rsid w:val="005D6A46"/>
    <w:rsid w:val="005E1C02"/>
    <w:rsid w:val="00607221"/>
    <w:rsid w:val="006164FD"/>
    <w:rsid w:val="00624E62"/>
    <w:rsid w:val="006671E2"/>
    <w:rsid w:val="006712D2"/>
    <w:rsid w:val="0067383E"/>
    <w:rsid w:val="00694958"/>
    <w:rsid w:val="006957C4"/>
    <w:rsid w:val="006B165B"/>
    <w:rsid w:val="006D006A"/>
    <w:rsid w:val="006E000F"/>
    <w:rsid w:val="006E5495"/>
    <w:rsid w:val="006E6341"/>
    <w:rsid w:val="006F7219"/>
    <w:rsid w:val="00700C30"/>
    <w:rsid w:val="00712E13"/>
    <w:rsid w:val="0075774D"/>
    <w:rsid w:val="00764175"/>
    <w:rsid w:val="0078154C"/>
    <w:rsid w:val="007A0D59"/>
    <w:rsid w:val="007B219E"/>
    <w:rsid w:val="008040D0"/>
    <w:rsid w:val="00826BA3"/>
    <w:rsid w:val="0084278B"/>
    <w:rsid w:val="008879FF"/>
    <w:rsid w:val="00890159"/>
    <w:rsid w:val="008A0FB0"/>
    <w:rsid w:val="008B3551"/>
    <w:rsid w:val="008C0F6D"/>
    <w:rsid w:val="008C3E96"/>
    <w:rsid w:val="008C6226"/>
    <w:rsid w:val="008D0A06"/>
    <w:rsid w:val="008D667B"/>
    <w:rsid w:val="008E3DBB"/>
    <w:rsid w:val="008E4A8B"/>
    <w:rsid w:val="00901344"/>
    <w:rsid w:val="009033D1"/>
    <w:rsid w:val="00903763"/>
    <w:rsid w:val="00917AA2"/>
    <w:rsid w:val="00927F6B"/>
    <w:rsid w:val="00944A84"/>
    <w:rsid w:val="009574D4"/>
    <w:rsid w:val="00962E1C"/>
    <w:rsid w:val="009821EB"/>
    <w:rsid w:val="009829D1"/>
    <w:rsid w:val="0099011B"/>
    <w:rsid w:val="009A2B5E"/>
    <w:rsid w:val="009C0759"/>
    <w:rsid w:val="009F7BDB"/>
    <w:rsid w:val="00A1346C"/>
    <w:rsid w:val="00A7641C"/>
    <w:rsid w:val="00A8360C"/>
    <w:rsid w:val="00A91E18"/>
    <w:rsid w:val="00A9224B"/>
    <w:rsid w:val="00A95E37"/>
    <w:rsid w:val="00AC42D7"/>
    <w:rsid w:val="00AF63C6"/>
    <w:rsid w:val="00B11A14"/>
    <w:rsid w:val="00B161FE"/>
    <w:rsid w:val="00B27D7B"/>
    <w:rsid w:val="00B31CCA"/>
    <w:rsid w:val="00B55262"/>
    <w:rsid w:val="00B77FB2"/>
    <w:rsid w:val="00B90232"/>
    <w:rsid w:val="00B926A8"/>
    <w:rsid w:val="00BA1F01"/>
    <w:rsid w:val="00BB10A3"/>
    <w:rsid w:val="00BC3414"/>
    <w:rsid w:val="00BC3416"/>
    <w:rsid w:val="00BD4D1B"/>
    <w:rsid w:val="00BE43F2"/>
    <w:rsid w:val="00BF79E0"/>
    <w:rsid w:val="00C26D9C"/>
    <w:rsid w:val="00C361DF"/>
    <w:rsid w:val="00C4314A"/>
    <w:rsid w:val="00C47020"/>
    <w:rsid w:val="00C6506B"/>
    <w:rsid w:val="00C65E40"/>
    <w:rsid w:val="00C77885"/>
    <w:rsid w:val="00C80C7F"/>
    <w:rsid w:val="00C82F84"/>
    <w:rsid w:val="00CA2E5E"/>
    <w:rsid w:val="00CE386D"/>
    <w:rsid w:val="00CE6ED3"/>
    <w:rsid w:val="00CF213C"/>
    <w:rsid w:val="00D125D2"/>
    <w:rsid w:val="00D25834"/>
    <w:rsid w:val="00D3596A"/>
    <w:rsid w:val="00D55270"/>
    <w:rsid w:val="00D7097B"/>
    <w:rsid w:val="00D70E83"/>
    <w:rsid w:val="00D80230"/>
    <w:rsid w:val="00D8303C"/>
    <w:rsid w:val="00D96A57"/>
    <w:rsid w:val="00DA0A6F"/>
    <w:rsid w:val="00DB413F"/>
    <w:rsid w:val="00DE381E"/>
    <w:rsid w:val="00DF1473"/>
    <w:rsid w:val="00E12FA6"/>
    <w:rsid w:val="00E20AA3"/>
    <w:rsid w:val="00E211C3"/>
    <w:rsid w:val="00E217C2"/>
    <w:rsid w:val="00E37D3A"/>
    <w:rsid w:val="00E507C3"/>
    <w:rsid w:val="00E55FE7"/>
    <w:rsid w:val="00E70EC7"/>
    <w:rsid w:val="00E96F5A"/>
    <w:rsid w:val="00EA234E"/>
    <w:rsid w:val="00EB0879"/>
    <w:rsid w:val="00ED24B6"/>
    <w:rsid w:val="00ED3F52"/>
    <w:rsid w:val="00F06D32"/>
    <w:rsid w:val="00F14425"/>
    <w:rsid w:val="00F5675D"/>
    <w:rsid w:val="00F767CD"/>
    <w:rsid w:val="00F7767C"/>
    <w:rsid w:val="00F920A9"/>
    <w:rsid w:val="00F95D9A"/>
    <w:rsid w:val="00F95DBC"/>
    <w:rsid w:val="00FA075F"/>
    <w:rsid w:val="00FA1D9F"/>
    <w:rsid w:val="00FB044D"/>
    <w:rsid w:val="00FB755A"/>
    <w:rsid w:val="00FD41A3"/>
    <w:rsid w:val="00FD7C99"/>
    <w:rsid w:val="00FE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5490"/>
  <w15:docId w15:val="{91919CCC-5E69-4415-BCCC-6324957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6A"/>
    <w:pPr>
      <w:spacing w:after="0" w:line="240" w:lineRule="auto"/>
    </w:pPr>
    <w:rPr>
      <w:rFonts w:eastAsiaTheme="minorEastAsia"/>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6A"/>
    <w:rPr>
      <w:color w:val="0000FF" w:themeColor="hyperlink"/>
      <w:u w:val="single"/>
    </w:rPr>
  </w:style>
  <w:style w:type="paragraph" w:styleId="BalloonText">
    <w:name w:val="Balloon Text"/>
    <w:basedOn w:val="Normal"/>
    <w:link w:val="BalloonTextChar"/>
    <w:uiPriority w:val="99"/>
    <w:semiHidden/>
    <w:unhideWhenUsed/>
    <w:rsid w:val="0059386A"/>
    <w:rPr>
      <w:rFonts w:ascii="Tahoma" w:hAnsi="Tahoma" w:cs="Tahoma"/>
      <w:sz w:val="16"/>
      <w:szCs w:val="16"/>
    </w:rPr>
  </w:style>
  <w:style w:type="character" w:customStyle="1" w:styleId="BalloonTextChar">
    <w:name w:val="Balloon Text Char"/>
    <w:basedOn w:val="DefaultParagraphFont"/>
    <w:link w:val="BalloonText"/>
    <w:uiPriority w:val="99"/>
    <w:semiHidden/>
    <w:rsid w:val="0059386A"/>
    <w:rPr>
      <w:rFonts w:ascii="Tahoma" w:eastAsiaTheme="minorEastAsia" w:hAnsi="Tahoma" w:cs="Tahoma"/>
      <w:sz w:val="16"/>
      <w:szCs w:val="16"/>
      <w:lang w:val="en-GB"/>
    </w:rPr>
  </w:style>
  <w:style w:type="paragraph" w:styleId="Header">
    <w:name w:val="header"/>
    <w:basedOn w:val="Normal"/>
    <w:link w:val="HeaderChar"/>
    <w:uiPriority w:val="99"/>
    <w:unhideWhenUsed/>
    <w:rsid w:val="0099011B"/>
    <w:pPr>
      <w:tabs>
        <w:tab w:val="center" w:pos="4513"/>
        <w:tab w:val="right" w:pos="9026"/>
      </w:tabs>
    </w:pPr>
  </w:style>
  <w:style w:type="character" w:customStyle="1" w:styleId="HeaderChar">
    <w:name w:val="Header Char"/>
    <w:basedOn w:val="DefaultParagraphFont"/>
    <w:link w:val="Header"/>
    <w:uiPriority w:val="99"/>
    <w:rsid w:val="0099011B"/>
    <w:rPr>
      <w:rFonts w:eastAsiaTheme="minorEastAsia"/>
      <w:sz w:val="24"/>
      <w:szCs w:val="24"/>
      <w:lang w:val="en-GB"/>
    </w:rPr>
  </w:style>
  <w:style w:type="paragraph" w:styleId="Footer">
    <w:name w:val="footer"/>
    <w:basedOn w:val="Normal"/>
    <w:link w:val="FooterChar"/>
    <w:uiPriority w:val="99"/>
    <w:unhideWhenUsed/>
    <w:rsid w:val="0099011B"/>
    <w:pPr>
      <w:tabs>
        <w:tab w:val="center" w:pos="4513"/>
        <w:tab w:val="right" w:pos="9026"/>
      </w:tabs>
    </w:pPr>
  </w:style>
  <w:style w:type="character" w:customStyle="1" w:styleId="FooterChar">
    <w:name w:val="Footer Char"/>
    <w:basedOn w:val="DefaultParagraphFont"/>
    <w:link w:val="Footer"/>
    <w:uiPriority w:val="99"/>
    <w:rsid w:val="0099011B"/>
    <w:rPr>
      <w:rFonts w:eastAsiaTheme="minorEastAsia"/>
      <w:sz w:val="24"/>
      <w:szCs w:val="24"/>
      <w:lang w:val="en-GB"/>
    </w:rPr>
  </w:style>
  <w:style w:type="paragraph" w:styleId="NormalWeb">
    <w:name w:val="Normal (Web)"/>
    <w:basedOn w:val="Normal"/>
    <w:uiPriority w:val="99"/>
    <w:semiHidden/>
    <w:unhideWhenUsed/>
    <w:rsid w:val="00A1346C"/>
    <w:pPr>
      <w:spacing w:before="100" w:beforeAutospacing="1" w:after="100" w:afterAutospacing="1"/>
    </w:pPr>
    <w:rPr>
      <w:rFonts w:ascii="Times New Roman" w:eastAsia="Times New Roman" w:hAnsi="Times New Roman" w:cs="Times New Roman"/>
      <w:lang w:val="en-ZA" w:eastAsia="en-ZA"/>
    </w:rPr>
  </w:style>
  <w:style w:type="character" w:styleId="Strong">
    <w:name w:val="Strong"/>
    <w:basedOn w:val="DefaultParagraphFont"/>
    <w:uiPriority w:val="22"/>
    <w:qFormat/>
    <w:rsid w:val="00A1346C"/>
    <w:rPr>
      <w:b/>
      <w:bCs/>
    </w:rPr>
  </w:style>
  <w:style w:type="table" w:styleId="TableGrid">
    <w:name w:val="Table Grid"/>
    <w:basedOn w:val="TableNormal"/>
    <w:uiPriority w:val="59"/>
    <w:rsid w:val="005B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718C"/>
    <w:pPr>
      <w:spacing w:after="0" w:line="240" w:lineRule="auto"/>
    </w:pPr>
    <w:rPr>
      <w:rFonts w:eastAsiaTheme="minorEastAsia"/>
      <w:sz w:val="24"/>
      <w:szCs w:val="24"/>
      <w:lang w:val="en-GB"/>
    </w:rPr>
  </w:style>
  <w:style w:type="character" w:styleId="CommentReference">
    <w:name w:val="annotation reference"/>
    <w:basedOn w:val="DefaultParagraphFont"/>
    <w:uiPriority w:val="99"/>
    <w:semiHidden/>
    <w:unhideWhenUsed/>
    <w:rsid w:val="004D718C"/>
    <w:rPr>
      <w:sz w:val="16"/>
      <w:szCs w:val="16"/>
    </w:rPr>
  </w:style>
  <w:style w:type="paragraph" w:styleId="CommentText">
    <w:name w:val="annotation text"/>
    <w:basedOn w:val="Normal"/>
    <w:link w:val="CommentTextChar"/>
    <w:uiPriority w:val="99"/>
    <w:unhideWhenUsed/>
    <w:rsid w:val="004D718C"/>
    <w:rPr>
      <w:sz w:val="20"/>
      <w:szCs w:val="20"/>
    </w:rPr>
  </w:style>
  <w:style w:type="character" w:customStyle="1" w:styleId="CommentTextChar">
    <w:name w:val="Comment Text Char"/>
    <w:basedOn w:val="DefaultParagraphFont"/>
    <w:link w:val="CommentText"/>
    <w:uiPriority w:val="99"/>
    <w:rsid w:val="004D718C"/>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4D718C"/>
    <w:rPr>
      <w:b/>
      <w:bCs/>
    </w:rPr>
  </w:style>
  <w:style w:type="character" w:customStyle="1" w:styleId="CommentSubjectChar">
    <w:name w:val="Comment Subject Char"/>
    <w:basedOn w:val="CommentTextChar"/>
    <w:link w:val="CommentSubject"/>
    <w:uiPriority w:val="99"/>
    <w:semiHidden/>
    <w:rsid w:val="004D718C"/>
    <w:rPr>
      <w:rFonts w:eastAsiaTheme="minorEastAsia"/>
      <w:b/>
      <w:bCs/>
      <w:sz w:val="20"/>
      <w:szCs w:val="20"/>
      <w:lang w:val="en-GB"/>
    </w:rPr>
  </w:style>
  <w:style w:type="paragraph" w:customStyle="1" w:styleId="Boilerplate">
    <w:name w:val="Boilerplate"/>
    <w:basedOn w:val="Normal"/>
    <w:rsid w:val="000614D7"/>
    <w:pPr>
      <w:spacing w:after="120"/>
      <w:ind w:right="-23"/>
    </w:pPr>
    <w:rPr>
      <w:rFonts w:ascii="Calibri" w:eastAsiaTheme="minorHAnsi" w:hAnsi="Calibri" w:cs="Calibri"/>
      <w:color w:val="465058"/>
      <w:sz w:val="20"/>
      <w:szCs w:val="20"/>
      <w:lang w:val="en-ZA"/>
    </w:rPr>
  </w:style>
  <w:style w:type="character" w:customStyle="1" w:styleId="Hyperlink0">
    <w:name w:val="Hyperlink.0"/>
    <w:basedOn w:val="Hyperlink"/>
    <w:rsid w:val="0035209E"/>
    <w:rPr>
      <w:color w:val="0000FF" w:themeColor="hyperlink"/>
      <w:u w:val="single"/>
    </w:rPr>
  </w:style>
  <w:style w:type="character" w:styleId="UnresolvedMention">
    <w:name w:val="Unresolved Mention"/>
    <w:basedOn w:val="DefaultParagraphFont"/>
    <w:uiPriority w:val="99"/>
    <w:semiHidden/>
    <w:unhideWhenUsed/>
    <w:rsid w:val="005D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6224">
      <w:bodyDiv w:val="1"/>
      <w:marLeft w:val="0"/>
      <w:marRight w:val="0"/>
      <w:marTop w:val="0"/>
      <w:marBottom w:val="0"/>
      <w:divBdr>
        <w:top w:val="none" w:sz="0" w:space="0" w:color="auto"/>
        <w:left w:val="none" w:sz="0" w:space="0" w:color="auto"/>
        <w:bottom w:val="none" w:sz="0" w:space="0" w:color="auto"/>
        <w:right w:val="none" w:sz="0" w:space="0" w:color="auto"/>
      </w:divBdr>
    </w:div>
    <w:div w:id="349453988">
      <w:bodyDiv w:val="1"/>
      <w:marLeft w:val="0"/>
      <w:marRight w:val="0"/>
      <w:marTop w:val="0"/>
      <w:marBottom w:val="0"/>
      <w:divBdr>
        <w:top w:val="none" w:sz="0" w:space="0" w:color="auto"/>
        <w:left w:val="none" w:sz="0" w:space="0" w:color="auto"/>
        <w:bottom w:val="none" w:sz="0" w:space="0" w:color="auto"/>
        <w:right w:val="none" w:sz="0" w:space="0" w:color="auto"/>
      </w:divBdr>
    </w:div>
    <w:div w:id="823469607">
      <w:bodyDiv w:val="1"/>
      <w:marLeft w:val="0"/>
      <w:marRight w:val="0"/>
      <w:marTop w:val="0"/>
      <w:marBottom w:val="0"/>
      <w:divBdr>
        <w:top w:val="none" w:sz="0" w:space="0" w:color="auto"/>
        <w:left w:val="none" w:sz="0" w:space="0" w:color="auto"/>
        <w:bottom w:val="none" w:sz="0" w:space="0" w:color="auto"/>
        <w:right w:val="none" w:sz="0" w:space="0" w:color="auto"/>
      </w:divBdr>
    </w:div>
    <w:div w:id="1660036728">
      <w:bodyDiv w:val="1"/>
      <w:marLeft w:val="0"/>
      <w:marRight w:val="0"/>
      <w:marTop w:val="0"/>
      <w:marBottom w:val="0"/>
      <w:divBdr>
        <w:top w:val="none" w:sz="0" w:space="0" w:color="auto"/>
        <w:left w:val="none" w:sz="0" w:space="0" w:color="auto"/>
        <w:bottom w:val="none" w:sz="0" w:space="0" w:color="auto"/>
        <w:right w:val="none" w:sz="0" w:space="0" w:color="auto"/>
      </w:divBdr>
    </w:div>
    <w:div w:id="21068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2.medialist.co.za/ls/click?upn=-2BitWTk3RBNhrlenbYBuhbYa8kMUO9aB8dtzXQqOICMsL0LiFP0SVunbP6llAF7kEbeo2NCYFFBn8-2FRF4ZpHxZgbdlO455f3SwIZZ5WJurQc-3DSscI_lNeMxsnw0iDjA8k5tDaRmvHAuW-2F-2BkWYYaPDKr1Vdo1q1vITi7KBeRolRyAaZZsIEsGtXlv2RqN1dwPh20-2BIk27Coh8Tpl-2FK6B1cslV9-2BpiSGgAuSLC-2Bcr-2F-2FIJ2HuTK5XoOVUa9CLz-2FXgv2LToUiBFGdTU7gKWcELiTaddgWaKZBabfJX6FlJqAWQiXGgJBnQ33RTGWF7bhkKH4JKbQyHtkc-2FGDVDEbisROrfCllShJ0-3D" TargetMode="External"/><Relationship Id="rId18" Type="http://schemas.openxmlformats.org/officeDocument/2006/relationships/hyperlink" Target="https://www.instagram.com/gbcsa/" TargetMode="External"/><Relationship Id="rId3" Type="http://schemas.openxmlformats.org/officeDocument/2006/relationships/customXml" Target="../customXml/item3.xml"/><Relationship Id="rId21" Type="http://schemas.openxmlformats.org/officeDocument/2006/relationships/hyperlink" Target="mailto:anjat@gbcsa.org.za" TargetMode="External"/><Relationship Id="rId7" Type="http://schemas.openxmlformats.org/officeDocument/2006/relationships/footnotes" Target="footnotes.xml"/><Relationship Id="rId12" Type="http://schemas.openxmlformats.org/officeDocument/2006/relationships/hyperlink" Target="http://em2.medialist.co.za/ls/click?upn=-2BitWTk3RBNhrlenbYBuhbdUjzmYFhFxqCy-2Fx9qJuMV6KQ0YZOA4q3Df5UP1H5RhFR3tu_lNeMxsnw0iDjA8k5tDaRmvHAuW-2F-2BkWYYaPDKr1Vdo1q1vITi7KBeRolRyAaZZsIEsGtXlv2RqN1dwPh20-2BIk2262ralnN7c66LBEdEvYnA-2FOaTPTq3kqKLQUV1WN-2F9xTVRdqzuyko4G-2FXJo6pG59gIN60F31-2B-2FfyDnXiAVSyWw-2BdufeAnMP2PN28eXCt27rMUgzXWphp-2B-2F6krTWunVwNicbQ9Oc226-2FKY9JaKwG50qQ-3D" TargetMode="External"/><Relationship Id="rId17" Type="http://schemas.openxmlformats.org/officeDocument/2006/relationships/hyperlink" Target="https://www.linkedin.com/company/green-building-council-of-south-africa/mycompany/" TargetMode="External"/><Relationship Id="rId2" Type="http://schemas.openxmlformats.org/officeDocument/2006/relationships/customXml" Target="../customXml/item2.xml"/><Relationship Id="rId16" Type="http://schemas.openxmlformats.org/officeDocument/2006/relationships/hyperlink" Target="https://gbcsa.org.za/" TargetMode="External"/><Relationship Id="rId20" Type="http://schemas.openxmlformats.org/officeDocument/2006/relationships/hyperlink" Target="https://twitter.com/GBC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2.medialist.co.za/ls/click?upn=-2BitWTk3RBNhrlenbYBuhbeTZg2kFd-2BZsqdt8LTlAR-2BdZx-2FXMySC0BIkcGQKXoYzAbGug_lNeMxsnw0iDjA8k5tDaRmvHAuW-2F-2BkWYYaPDKr1Vdo1q1vITi7KBeRolRyAaZZsIEsGtXlv2RqN1dwPh20-2BIk271JRkOpcCUDvsYEHM2ScgABoffmJV3Qt-2ByCxf8M0tRoONPXy3EEIz-2BXTgqR6I7qfEPZA-2BOoD2h1rrs7osXz3iucVe8LDDLEanos3-2B1K0OJk-2F5knGmsYtP1Xb2qXURNbkW-2BHAUHvlaM2-2BUcWdcD09o8-3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sci.com/" TargetMode="External"/><Relationship Id="rId23" Type="http://schemas.openxmlformats.org/officeDocument/2006/relationships/fontTable" Target="fontTable.xml"/><Relationship Id="rId10" Type="http://schemas.openxmlformats.org/officeDocument/2006/relationships/hyperlink" Target="http://em2.medialist.co.za/ls/click?upn=-2BitWTk3RBNhrlenbYBuhbeAk-2FLXCAonglTRAbVaMbsgKjzmiUAmle78Scr9z-2BrX-2BQu81_lNeMxsnw0iDjA8k5tDaRmvHAuW-2F-2BkWYYaPDKr1Vdo1q1vITi7KBeRolRyAaZZsIEsGtXlv2RqN1dwPh20-2BIk25eCX-2F3ySd1JClIp911mDylSzK7sqW4aIX9zBwRlf9CCj61BpWI9Q1824jOckqQ0AC-2BsXF4B2ExXjdC5YDWurggdft9GOQApFRkdVuIJENS4b0nXYOlju8Ejc6mkha1kdu9fOqNJnoUEPdMCuQC4nmI-3D" TargetMode="External"/><Relationship Id="rId19" Type="http://schemas.openxmlformats.org/officeDocument/2006/relationships/hyperlink" Target="https://www.facebook.com/GreenBuildingCouncilSouthAfrica/" TargetMode="External"/><Relationship Id="rId4" Type="http://schemas.openxmlformats.org/officeDocument/2006/relationships/styles" Target="styles.xml"/><Relationship Id="rId9" Type="http://schemas.openxmlformats.org/officeDocument/2006/relationships/hyperlink" Target="https://www.msci.com/www/ipd-factsheets/msci-south-africa-green-annual/0163242457" TargetMode="External"/><Relationship Id="rId14" Type="http://schemas.openxmlformats.org/officeDocument/2006/relationships/hyperlink" Target="http://em2.medialist.co.za/ls/click?upn=-2BitWTk3RBNhrlenbYBuhbZVWjOylGFBuxWCpoU0WOtYTO-2BPqV9jx4SqTWcCehrRBqQpuKWcloAVSwKk9r26L7g-3D-3D_QD2_lNeMxsnw0iDjA8k5tDaRmvHAuW-2F-2BkWYYaPDKr1Vdo1q1vITi7KBeRolRyAaZZsIEsGtXlv2RqN1dwPh20-2BIk2-2BmDyc21YYMy-2B9Jp-2Fjuj7kaaQ3afMUDPDcegk3T0R99nBKUi71k6RDHNcHmWQ4EXoCMvyhEpZbdJnppYoEO2P95UnTq7SkiQNn15tTTayGwO35HDMuUDhYVr8DtQvkY8KE4NydQ3YoLArqbwd91vQeo-3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628F59BFEE449958CE7AFDC6087AF" ma:contentTypeVersion="13" ma:contentTypeDescription="Create a new document." ma:contentTypeScope="" ma:versionID="5de204a3b0ccabbbf6b04454b612d0a4">
  <xsd:schema xmlns:xsd="http://www.w3.org/2001/XMLSchema" xmlns:xs="http://www.w3.org/2001/XMLSchema" xmlns:p="http://schemas.microsoft.com/office/2006/metadata/properties" xmlns:ns3="13e47f79-d780-4ecb-b8c7-573fcf3592c1" xmlns:ns4="ee475220-3238-4b3d-aef6-a9acf94008ef" targetNamespace="http://schemas.microsoft.com/office/2006/metadata/properties" ma:root="true" ma:fieldsID="f9ee3389f71d856c71b7d794b2376643" ns3:_="" ns4:_="">
    <xsd:import namespace="13e47f79-d780-4ecb-b8c7-573fcf3592c1"/>
    <xsd:import namespace="ee475220-3238-4b3d-aef6-a9acf94008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79-d780-4ecb-b8c7-573fcf3592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5220-3238-4b3d-aef6-a9acf94008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32CAA-103E-4AFC-A96F-47EE5579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79-d780-4ecb-b8c7-573fcf3592c1"/>
    <ds:schemaRef ds:uri="ee475220-3238-4b3d-aef6-a9acf940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1D9ED-5FC8-4D08-95BD-72A901BEC9BF}">
  <ds:schemaRefs>
    <ds:schemaRef ds:uri="http://schemas.microsoft.com/sharepoint/v3/contenttype/forms"/>
  </ds:schemaRefs>
</ds:datastoreItem>
</file>

<file path=customXml/itemProps3.xml><?xml version="1.0" encoding="utf-8"?>
<ds:datastoreItem xmlns:ds="http://schemas.openxmlformats.org/officeDocument/2006/customXml" ds:itemID="{E2C8F658-6827-4F1A-A78A-00F74C468C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zuerita</dc:creator>
  <cp:keywords/>
  <dc:description/>
  <cp:lastModifiedBy>Anja Thompson</cp:lastModifiedBy>
  <cp:revision>14</cp:revision>
  <dcterms:created xsi:type="dcterms:W3CDTF">2023-05-17T10:27:00Z</dcterms:created>
  <dcterms:modified xsi:type="dcterms:W3CDTF">2023-05-17T10:42:00Z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0x010100577628F59BFEE449958CE7AFDC6087AF</vt:lpwstr>
  </property>
  <property fmtid="{D5CDD505-2E9C-101B-9397-08002B2CF9AE}" pid="3" name="MSIP_Label_b60f8386-55a0-404e-9dce-4d5bc8b309d8_Enabled">
    <vt:lpwstr>true</vt:lpwstr>
  </property>
  <property fmtid="{D5CDD505-2E9C-101B-9397-08002B2CF9AE}" pid="4" name="MSIP_Label_b60f8386-55a0-404e-9dce-4d5bc8b309d8_SetDate">
    <vt:lpwstr>2023-05-03T12:17:36Z</vt:lpwstr>
  </property>
  <property fmtid="{D5CDD505-2E9C-101B-9397-08002B2CF9AE}" pid="5" name="MSIP_Label_b60f8386-55a0-404e-9dce-4d5bc8b309d8_Method">
    <vt:lpwstr>Standard</vt:lpwstr>
  </property>
  <property fmtid="{D5CDD505-2E9C-101B-9397-08002B2CF9AE}" pid="6" name="MSIP_Label_b60f8386-55a0-404e-9dce-4d5bc8b309d8_Name">
    <vt:lpwstr>b60f8386-55a0-404e-9dce-4d5bc8b309d8</vt:lpwstr>
  </property>
  <property fmtid="{D5CDD505-2E9C-101B-9397-08002B2CF9AE}" pid="7" name="MSIP_Label_b60f8386-55a0-404e-9dce-4d5bc8b309d8_SiteId">
    <vt:lpwstr>7a9376d4-7c43-480f-82ba-a090647f651d</vt:lpwstr>
  </property>
  <property fmtid="{D5CDD505-2E9C-101B-9397-08002B2CF9AE}" pid="8" name="MSIP_Label_b60f8386-55a0-404e-9dce-4d5bc8b309d8_ActionId">
    <vt:lpwstr>96b9d8c4-2de6-4b03-85f7-2472ddf99fd3</vt:lpwstr>
  </property>
  <property fmtid="{D5CDD505-2E9C-101B-9397-08002B2CF9AE}" pid="9" name="MSIP_Label_b60f8386-55a0-404e-9dce-4d5bc8b309d8_ContentBits">
    <vt:lpwstr>2</vt:lpwstr>
  </property>
</Properties>
</file>