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Goditi bassi intensi con Sonos Sub 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Sub 4 è la nuova versione dell’inconfondibile subwoofer Sonos. Abbiamo rinnovato il design e i componenti interni per ottenere bassi profondi che rendono l’esperienza home theater e i tuoi contenuti preferiti ancora più coinvolgenti.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Light" w:cs="Helvetica Neue Light" w:eastAsia="Helvetica Neue Light" w:hAnsi="Helvetica Neue Light"/>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Potenza esplosiva: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i due woofer progettati su misura producono bassi profondi e dinamici che arricchiscono il tuo intrattenimento rendendo i colpi, i boati e i rimbombi ancora più intensi. Inoltre, sono rivolti verso l’interno per creare un effetto force-canceling che neutralizza le distorsioni e annulla tremolii e tintinnii.</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Riprogettato all’esterno e all’interno: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oggi, Sub 4 è il subwoofer Sonos più avanzato. Ha più memoria, più potenza di elaborazione ed è compatibile con le nuove tecnologie Wi-Fi per non farti perdere neanche una nota.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Lo stesso design inconfondibile: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Le linee eleganti e scultoree di Sub 4 ricordano molto l’estetica del modello precedente, ma ora le versioni bianca e nera hanno una finitura opaca. Grazie al suo profilo, Sub 4 si può appoggiare con facilità in verticale o su un lato oppure vicino al divano. </w:t>
      </w: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Audio sostenibile: gli sforzi di dematerializzazione hanno reso il formato di Sub 4 più sostenibile, con un involucro, una mascherina e un alloggiamento per cavi aggiornati per ridurre i rifiuti inutili e quasi dimezzare il consumo energetico.</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sectPr>
          <w:headerReference r:id="rId7" w:type="default"/>
          <w:pgSz w:h="15840" w:w="12240" w:orient="portrait"/>
          <w:pgMar w:bottom="720" w:top="720" w:left="720" w:right="720" w:header="360" w:footer="720"/>
          <w:pgNumType w:start="1"/>
        </w:sect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Un home theater mozzafiato: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per ottenere bassi più profondi e rendere più emozionanti i film e le serie TV, collega Sub 4 a Sonos Arc Ultra, Sonos Arc o Sonos Beam. Puoi anche collegare insieme due subwoofer per ottenere bassi estremamente intensi che renderanno ancora più coinvolgenti le canzoni e i film. In alcune configurazioni, Sub 4 è compatibile con le versioni precedenti di Sub.</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6"/>
          <w:szCs w:val="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Audio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Amplificatori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Due amplificatori digitali classe D perfettamente ottimizzati per l’architettura acustica del subwoofer.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Woofer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Due woofer ellittici da 12,7 cm x 20,3 cm (5 pollici x 8 pollici) rivolti verso l’interno creano un effetto force-canceling che elimina praticamente ogni distorsione.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Architettura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La struttura con condotto reflex migliora i bassi.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Frequenza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Fino a un minimo di 25 Hz.</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Equalizzazione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L’equalizzazione viene configurata automaticamente tramite le impostazioni audio per bilanciare Sub 4 e gli speaker abbinati. Usa l’app Sonos per regolare i bassi, gli acuti e il volume.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Trueplay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Il software analizza l’acustica della stanza e ottimizza l’equalizzazione in base a essa. Compatibile con dispositivi iOS e Android.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Dettagli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Dimensioni</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(A x L x P) 389 x 402 x 158 mm (15,31 x 15,83 x 6,22 pollici)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Peso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11,79 kg (26 lb)</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Colori e finitura</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Opaca. Disponibile in bianco o nero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Pulsante di connessione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Premilo una volta per aggiungere Sub 4 al sistema durante la configurazione.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Alimentazione e connettività</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Wi-Fi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18"/>
          <w:szCs w:val="18"/>
          <w:u w:val="none"/>
          <w:shd w:fill="auto" w:val="clear"/>
          <w:vertAlign w:val="baseline"/>
          <w:rtl w:val="0"/>
        </w:rPr>
        <w:t xml:space="preserve">Si connette a qualsiasi router con trasmissione a 2,4 o 5 GHz compatibile con il protocollo 802.11 a/b/g/n/ac/ax</w:t>
      </w:r>
      <w:r w:rsidDel="00000000" w:rsidR="00000000" w:rsidRPr="00000000">
        <w:rPr>
          <w:rFonts w:ascii="Helvetica Neue" w:cs="Helvetica Neue" w:eastAsia="Helvetica Neue" w:hAnsi="Helvetica Neue"/>
          <w:i w:val="0"/>
          <w:smallCaps w:val="0"/>
          <w:strike w:val="0"/>
          <w:color w:val="000000"/>
          <w:sz w:val="18"/>
          <w:szCs w:val="1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Ethernet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Porta Ethernet 10/100 per collegamento diretto al router</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Tensione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Alimentazione interna 100-240 V 50/60 Hz</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CPU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Quad Core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4xA55 1,9 GHz</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Memoria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DDR4 da 512 MB</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eMMC da 4 GB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Temperatura operativa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Da 0 °C a 40 °C</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(da 32 °F a 104 °F)</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Disponibilità</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Disponibile a partire dal 29 ottobre 2024 negli Stati Uniti e in Canada, Messico, Colombia, Regno Unito, Irlanda, Germania, Austria, Svizzera, Polonia, Francia, Italia, Spagna, Paesi Bassi, Belgio, Lussemburgo, Svezia, Danimarca, Norvegia, Finlandia, Portogallo, Grecia, Cipro, Australia, Nuova Zelanda, Europa Orientale, Marocco, Sudafrica, Israele, Emirati Arabi Uniti, Arabia Saudita, Singapore e Hong Kong. Successivamente anche in Giappone, Cina, India ed Egitto.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i w:val="0"/>
          <w:smallCaps w:val="0"/>
          <w:strike w:val="0"/>
          <w:color w:val="000000"/>
          <w:sz w:val="18"/>
          <w:szCs w:val="18"/>
          <w:u w:val="none"/>
          <w:shd w:fill="auto" w:val="clear"/>
          <w:vertAlign w:val="baseline"/>
          <w:rtl w:val="0"/>
        </w:rPr>
        <w:t xml:space="preserve">USD $ 799 / GBP £ 799 / EUR € 899</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80"/>
      <w:outlineLvl w:val="0"/>
    </w:pPr>
    <w:rPr>
      <w:b w:val="1"/>
      <w:sz w:val="48"/>
      <w:szCs w:val="48"/>
    </w:rPr>
  </w:style>
  <w:style w:type="paragraph" w:styleId="Heading2">
    <w:name w:val="heading 2"/>
    <w:basedOn w:val="normal0"/>
    <w:next w:val="normal0"/>
    <w:pPr>
      <w:keepNext w:val="1"/>
      <w:keepLines w:val="1"/>
      <w:pageBreakBefore w:val="0"/>
      <w:spacing w:after="80" w:before="360"/>
      <w:outlineLvl w:val="1"/>
    </w:pPr>
    <w:rPr>
      <w:b w:val="1"/>
      <w:sz w:val="36"/>
      <w:szCs w:val="36"/>
    </w:rPr>
  </w:style>
  <w:style w:type="paragraph" w:styleId="Heading3">
    <w:name w:val="heading 3"/>
    <w:basedOn w:val="normal0"/>
    <w:next w:val="normal0"/>
    <w:pPr>
      <w:keepNext w:val="1"/>
      <w:keepLines w:val="1"/>
      <w:pageBreakBefore w:val="0"/>
      <w:spacing w:after="80" w:before="280"/>
      <w:outlineLvl w:val="2"/>
    </w:pPr>
    <w:rPr>
      <w:b w:val="1"/>
      <w:sz w:val="28"/>
      <w:szCs w:val="28"/>
    </w:rPr>
  </w:style>
  <w:style w:type="paragraph" w:styleId="Heading4">
    <w:name w:val="heading 4"/>
    <w:basedOn w:val="normal0"/>
    <w:next w:val="normal0"/>
    <w:pPr>
      <w:keepNext w:val="1"/>
      <w:keepLines w:val="1"/>
      <w:pageBreakBefore w:val="0"/>
      <w:spacing w:after="40" w:before="240"/>
      <w:outlineLvl w:val="3"/>
    </w:pPr>
    <w:rPr>
      <w:b w:val="1"/>
      <w:sz w:val="24"/>
      <w:szCs w:val="24"/>
    </w:rPr>
  </w:style>
  <w:style w:type="paragraph" w:styleId="Heading5">
    <w:name w:val="heading 5"/>
    <w:basedOn w:val="normal0"/>
    <w:next w:val="normal0"/>
    <w:pPr>
      <w:keepNext w:val="1"/>
      <w:keepLines w:val="1"/>
      <w:pageBreakBefore w:val="0"/>
      <w:spacing w:after="40" w:before="220"/>
      <w:outlineLvl w:val="4"/>
    </w:pPr>
    <w:rPr>
      <w:b w:val="1"/>
      <w:sz w:val="22"/>
      <w:szCs w:val="22"/>
    </w:rPr>
  </w:style>
  <w:style w:type="paragraph" w:styleId="Heading6">
    <w:name w:val="heading 6"/>
    <w:basedOn w:val="normal0"/>
    <w:next w:val="normal0"/>
    <w:pPr>
      <w:keepNext w:val="1"/>
      <w:keepLines w:val="1"/>
      <w:pageBreakBefore w:val="0"/>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120" w:before="480"/>
    </w:pPr>
    <w:rPr>
      <w:b w:val="1"/>
      <w:sz w:val="72"/>
      <w:szCs w:val="72"/>
    </w:rPr>
  </w:style>
  <w:style w:type="paragraph" w:styleId="Subtitle">
    <w:name w:val="Subtitle"/>
    <w:basedOn w:val="normal0"/>
    <w:next w:val="normal0"/>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wX+0f3siIkfvQEbqRUKpT+noQ==">CgMxLjAyCGguZ2pkZ3hzMgloLjMwajB6bGw4AHIhMTlNb01xMFkxMlZGdzJCUS1fSXVrbmN1c0xqTDlMNC1j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