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Vibrez avec les basses puissantes du Sonos Sub 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Le Sonos Sub 4 représente la nouvelle génération du caisson de basses emblématique de Sonos Avec un design et des composants repensés, le Sonos Sub 4 offre des basses profondes qui améliorent votre expérience home cinéma et vous plongent au cœur de vos contenus préférés.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Un son ultra-puissant: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Ressentez tous les sons grâce aux deux woofers conçus sur mesure qui génèrent des basses fréquences profondes et dynamiques pour améliorer le rendu de vos contenus. Aucune vibration grâce aux deux woofers du Sonos Sub 4 orientés vers l'intérieur qui créent un effet d'annulation des forces et suppriment toute altération des basses.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Un design entièrement repensé: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Le Sonos Sub 4 est le caisson de basses le plus perfectionné de Sonos à ce jour. Il possède une puissance de traitement et une capacité de mémoire accrues, ainsi que de nouvelles fréquences Wi-Fi pour ressentir chaque émotion.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Le même design emblématique: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Les formes élégantes du Sonos Sub 4 rappellent le design des versions précédentes, dans une nouvelle finition mate en noir ou en blanc. Il peut être placé debout, sur le côté ou sous le canapé. </w:t>
      </w:r>
      <w:r w:rsidDel="00000000" w:rsidR="00000000" w:rsidRPr="00000000">
        <w:rPr>
          <w:rtl w:val="0"/>
        </w:rPr>
      </w:r>
    </w:p>
    <w:p w:rsidR="00000000" w:rsidDel="00000000" w:rsidP="00000000" w:rsidRDefault="00000000" w:rsidRPr="00000000" w14:paraId="00000006">
      <w:pPr>
        <w:numPr>
          <w:ilvl w:val="0"/>
          <w:numId w:val="1"/>
        </w:numPr>
        <w:spacing w:line="276" w:lineRule="auto"/>
        <w:ind w:left="720" w:hanging="360"/>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Une approche éco-responsable: </w:t>
      </w:r>
      <w:r w:rsidDel="00000000" w:rsidR="00000000" w:rsidRPr="00000000">
        <w:rPr>
          <w:rFonts w:ascii="Helvetica Neue" w:cs="Helvetica Neue" w:eastAsia="Helvetica Neue" w:hAnsi="Helvetica Neue"/>
          <w:b w:val="0"/>
          <w:i w:val="0"/>
          <w:sz w:val="18"/>
          <w:szCs w:val="18"/>
          <w:u w:val="none"/>
          <w:vertAlign w:val="baseline"/>
          <w:rtl w:val="0"/>
        </w:rPr>
        <w:t xml:space="preserve">Grâce à nos mesures de réduction des déchets, le Sub 4 est également plus durable. Son boîtier, son panneau avant et son cache-câble ont été repensés pour limiter toute déperdition inutile, et la consommation d'énergie en mode veille a été réduite de près de 50%.</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sectPr>
          <w:headerReference r:id="rId7" w:type="default"/>
          <w:pgSz w:h="15840" w:w="12240" w:orient="portrait"/>
          <w:pgMar w:bottom="720" w:top="720" w:left="720" w:right="720" w:header="360" w:footer="720"/>
          <w:pgNumType w:start="1"/>
        </w:sect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Un home cinéma à couper le souffle: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Vivez vos films et vos séries avec encore plus d’intensité en associant un Sonos Sub 4 à une Sonos Arc Ultra, Sonos Arc, ou Sonos Beam pour des basses plus profondes. Associez deux caissons de basses pour des basses puissantes, qui amplifient chaque scène et chaque chanson. Le Sonos Sub 4 est compatible avec les générations précédentes de Sonos Sub dans certaines configurations.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
          <w:szCs w:val="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Audio</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Amplificateurs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Deux amplificateurs numériques de classe D parfaitement calibrés pour l’architecture acoustique unique du caisson de basses.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Woofers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Les deux woofers elliptiques de 5 x 8 pouces sont orientés vers l'intérieur pour un effet d'annulation des forces qui supprime presque toute distorsion.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Architecture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L'évent du caisson améliore la réponse en basses fréquences.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Fréquence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La fréquence peut descendre jusqu'à 25 Hz.</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Égalisation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Les paramètres audio égalisent automatiquement le Sonos Sub 4 et les enceintes Sonos associées. Utilisez l’application Sonos pour ajuster les basses, les aigus et la fonction Loudness.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Trueplay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Ce logiciel mesure l’acoustique de la pièce, puis calibre le son avec précision. Compatible avec les appareils fonctionnant sous Android ou iOS.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Détails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sz w:val="18"/>
          <w:szCs w:val="18"/>
          <w:highlight w:val="white"/>
          <w:rtl w:val="0"/>
        </w:rPr>
        <w:t xml:space="preserve">Dimensions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38,9 x 40,2 x 15,8 cm (H x L x P)</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Poids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11,79 kg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Couleurs et finition</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Mat; disponible en noir ou en blanc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Bouton d'association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Appuyez une fois pour ajouter un Sonos Sub 4 à votre système pendant l'installation.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Alimentation et connectivité</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Wi-Fi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18"/>
          <w:szCs w:val="18"/>
          <w:u w:val="none"/>
          <w:shd w:fill="auto" w:val="clear"/>
          <w:vertAlign w:val="baseline"/>
          <w:rtl w:val="0"/>
        </w:rPr>
        <w:t xml:space="preserve">Connectez-vous avec n’importe quel routeur capable de diffuser en 2,4 ou 5GHz sur les protocoles 802.11a/b/g/n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Ethernet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Port 10/100 pour le raccordement physique à votre routeur</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Tension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Alimentation électrique interne 100-240V 50/60Hz</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CPU</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Quad Core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 x A55 1,9GHz</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Mémoire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512 Mo DDR4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 Go eMMC</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Température de fonctionnement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0°C à 40°C</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Disponibilité</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Disponible à compter du 29 octobre 2024 dans les pays suivants: États-Unis, Canada, Mexique, Colombie, Royaume-Uni, Irlande, Allemagne, Autriche, Suisse, Pologne, France, Italie, Espagne, Pays-Bas, Belgique, Luxembourg, Suède, Danemark, Norvège, Finlande, Portugal, Grèce, Chypre, Australie, Nouvelle-Zélande, Europe de l'Est, Maroc, Afrique du Sud, Israël, Émirats arabes unis, Arabie saoudite, Singapour et Hong Kong. Le Japon, la Chine, l'Inde et l'Égypte suivront.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i w:val="0"/>
          <w:smallCaps w:val="0"/>
          <w:strike w:val="0"/>
          <w:color w:val="000000"/>
          <w:sz w:val="18"/>
          <w:szCs w:val="18"/>
          <w:u w:val="none"/>
          <w:shd w:fill="auto" w:val="clear"/>
          <w:vertAlign w:val="baseline"/>
          <w:rtl w:val="0"/>
        </w:rPr>
        <w:t xml:space="preserve">899 EUR</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4B77B5"/>
  </w:style>
  <w:style w:type="paragraph" w:styleId="Heading1">
    <w:name w:val="heading 1"/>
    <w:basedOn w:val="normal0"/>
    <w:next w:val="normal0"/>
    <w:pPr>
      <w:keepNext w:val="1"/>
      <w:keepLines w:val="1"/>
      <w:pageBreakBefore w:val="0"/>
      <w:spacing w:after="120" w:before="480"/>
      <w:outlineLvl w:val="0"/>
    </w:pPr>
    <w:rPr>
      <w:b w:val="1"/>
      <w:sz w:val="48"/>
      <w:szCs w:val="48"/>
    </w:rPr>
  </w:style>
  <w:style w:type="paragraph" w:styleId="Heading2">
    <w:name w:val="heading 2"/>
    <w:basedOn w:val="normal0"/>
    <w:next w:val="normal0"/>
    <w:pPr>
      <w:keepNext w:val="1"/>
      <w:keepLines w:val="1"/>
      <w:pageBreakBefore w:val="0"/>
      <w:spacing w:after="80" w:before="360"/>
      <w:outlineLvl w:val="1"/>
    </w:pPr>
    <w:rPr>
      <w:b w:val="1"/>
      <w:sz w:val="36"/>
      <w:szCs w:val="36"/>
    </w:rPr>
  </w:style>
  <w:style w:type="paragraph" w:styleId="Heading3">
    <w:name w:val="heading 3"/>
    <w:basedOn w:val="normal0"/>
    <w:next w:val="normal0"/>
    <w:pPr>
      <w:keepNext w:val="1"/>
      <w:keepLines w:val="1"/>
      <w:pageBreakBefore w:val="0"/>
      <w:spacing w:after="80" w:before="280"/>
      <w:outlineLvl w:val="2"/>
    </w:pPr>
    <w:rPr>
      <w:b w:val="1"/>
      <w:sz w:val="28"/>
      <w:szCs w:val="28"/>
    </w:rPr>
  </w:style>
  <w:style w:type="paragraph" w:styleId="Heading4">
    <w:name w:val="heading 4"/>
    <w:basedOn w:val="normal0"/>
    <w:next w:val="normal0"/>
    <w:pPr>
      <w:keepNext w:val="1"/>
      <w:keepLines w:val="1"/>
      <w:pageBreakBefore w:val="0"/>
      <w:spacing w:after="40" w:before="240"/>
      <w:outlineLvl w:val="3"/>
    </w:pPr>
    <w:rPr>
      <w:b w:val="1"/>
      <w:sz w:val="24"/>
      <w:szCs w:val="24"/>
    </w:rPr>
  </w:style>
  <w:style w:type="paragraph" w:styleId="Heading5">
    <w:name w:val="heading 5"/>
    <w:basedOn w:val="normal0"/>
    <w:next w:val="normal0"/>
    <w:pPr>
      <w:keepNext w:val="1"/>
      <w:keepLines w:val="1"/>
      <w:pageBreakBefore w:val="0"/>
      <w:spacing w:after="40" w:before="220"/>
      <w:outlineLvl w:val="4"/>
    </w:pPr>
    <w:rPr>
      <w:b w:val="1"/>
      <w:sz w:val="22"/>
      <w:szCs w:val="22"/>
    </w:rPr>
  </w:style>
  <w:style w:type="paragraph" w:styleId="Heading6">
    <w:name w:val="heading 6"/>
    <w:basedOn w:val="normal0"/>
    <w:next w:val="normal0"/>
    <w:pPr>
      <w:keepNext w:val="1"/>
      <w:keepLines w:val="1"/>
      <w:pageBreakBefore w:val="0"/>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0" w:customStyle="1">
    <w:name w:val="normal"/>
  </w:style>
  <w:style w:type="table" w:styleId="TableNormal" w:customStyle="1">
    <w:name w:val="Table Normal"/>
    <w:tblPr/>
  </w:style>
  <w:style w:type="paragraph" w:styleId="Title">
    <w:name w:val="Title"/>
    <w:basedOn w:val="normal0"/>
    <w:next w:val="normal0"/>
    <w:pPr>
      <w:keepNext w:val="1"/>
      <w:keepLines w:val="1"/>
      <w:pageBreakBefore w:val="0"/>
      <w:spacing w:after="120" w:before="480"/>
    </w:pPr>
    <w:rPr>
      <w:b w:val="1"/>
      <w:sz w:val="72"/>
      <w:szCs w:val="72"/>
    </w:rPr>
  </w:style>
  <w:style w:type="paragraph" w:styleId="Subtitle">
    <w:name w:val="Subtitle"/>
    <w:basedOn w:val="normal0"/>
    <w:next w:val="normal0"/>
    <w:pPr>
      <w:keepNext w:val="1"/>
      <w:keepLines w:val="1"/>
      <w:pageBreakBefore w:val="0"/>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Nrq58vRhTyVBw0rZ0rTKhLcIg==">CgMxLjAyCGguZ2pkZ3hzMgloLjMwajB6bGw4AHIhMUlHVlllaURDc1NkeUNhbHJ5N21rbThFSW5IOWRVZ09o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