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9682" w14:textId="062DFFAE" w:rsidR="00BF6BB9" w:rsidRDefault="458F0133" w:rsidP="4E0B41C6">
      <w:pPr>
        <w:jc w:val="center"/>
        <w:rPr>
          <w:rFonts w:ascii="Aptos" w:eastAsia="Aptos" w:hAnsi="Aptos"/>
          <w:b/>
          <w:bCs/>
          <w:sz w:val="28"/>
          <w:szCs w:val="28"/>
        </w:rPr>
      </w:pPr>
      <w:r w:rsidRPr="4E0B41C6">
        <w:rPr>
          <w:rFonts w:ascii="Aptos" w:eastAsia="Aptos" w:hAnsi="Aptos"/>
          <w:b/>
          <w:bCs/>
          <w:sz w:val="28"/>
          <w:szCs w:val="28"/>
        </w:rPr>
        <w:t>Cinco acciones clave para promover la equidad en las organizaciones</w:t>
      </w:r>
    </w:p>
    <w:p w14:paraId="56D089BD" w14:textId="4C176145" w:rsidR="00BF6BB9" w:rsidRDefault="1B393185" w:rsidP="4E0B41C6">
      <w:pPr>
        <w:jc w:val="center"/>
        <w:rPr>
          <w:rFonts w:ascii="Aptos" w:eastAsia="Aptos" w:hAnsi="Aptos"/>
          <w:i/>
          <w:iCs/>
          <w:sz w:val="22"/>
          <w:szCs w:val="22"/>
        </w:rPr>
      </w:pPr>
      <w:r w:rsidRPr="636A638C">
        <w:rPr>
          <w:rFonts w:ascii="Aptos" w:eastAsia="Aptos" w:hAnsi="Aptos"/>
          <w:i/>
          <w:iCs/>
          <w:sz w:val="22"/>
          <w:szCs w:val="22"/>
        </w:rPr>
        <w:t>Recomendaciones prácticas de APOYO Comunicación, certificada como Referente en el Ranking Aequales 2025</w:t>
      </w:r>
    </w:p>
    <w:p w14:paraId="0B2B3268" w14:textId="2B7E68FE" w:rsidR="00BF6BB9" w:rsidRDefault="07CB47D2" w:rsidP="53E82B22">
      <w:pPr>
        <w:spacing w:line="257" w:lineRule="auto"/>
        <w:jc w:val="both"/>
        <w:rPr>
          <w:rFonts w:ascii="Aptos" w:eastAsia="Aptos" w:hAnsi="Aptos" w:cs="Aptos"/>
          <w:sz w:val="22"/>
          <w:szCs w:val="22"/>
        </w:rPr>
      </w:pPr>
      <w:r w:rsidRPr="53E82B22">
        <w:rPr>
          <w:rFonts w:ascii="Aptos" w:eastAsia="Aptos" w:hAnsi="Aptos" w:cs="Aptos"/>
          <w:sz w:val="22"/>
          <w:szCs w:val="22"/>
        </w:rPr>
        <w:t xml:space="preserve">Cuando se habla </w:t>
      </w:r>
      <w:r w:rsidR="570802EC" w:rsidRPr="53E82B22">
        <w:rPr>
          <w:rFonts w:ascii="Aptos" w:eastAsia="Aptos" w:hAnsi="Aptos" w:cs="Aptos"/>
          <w:sz w:val="22"/>
          <w:szCs w:val="22"/>
        </w:rPr>
        <w:t>d</w:t>
      </w:r>
      <w:r w:rsidRPr="53E82B22">
        <w:rPr>
          <w:rFonts w:ascii="Aptos" w:eastAsia="Aptos" w:hAnsi="Aptos" w:cs="Aptos"/>
          <w:sz w:val="22"/>
          <w:szCs w:val="22"/>
        </w:rPr>
        <w:t>e normas y políticas para la promoción de la Diversidad, Equidad e Inclusión (DEI) dentro del ámbito laboral, Perú viene mostrando avances; sin embargo, los desafíos persisten y no son menores, por lo que acortar las brechas requiere esfuerzos y compromisos más profundos. Por ejemplo, si bien la participación laboral femenina en el país alcanza el 51 %, la brecha salarial promedio se sitúa en 25 %, según cifras del BBVA. Por otro lado, solo un 46 % de las compañías en el país cuenta con políticas formales de equidad de género, y menos de un tercio mide el impacto real de sus iniciativas, según datos de la consultora Aequales 2024.</w:t>
      </w:r>
    </w:p>
    <w:p w14:paraId="6437C889" w14:textId="23AF9A71" w:rsidR="00BF6BB9" w:rsidRDefault="74EC1A4C" w:rsidP="636A638C">
      <w:pPr>
        <w:jc w:val="both"/>
        <w:rPr>
          <w:rFonts w:ascii="Aptos" w:eastAsia="Aptos" w:hAnsi="Aptos" w:cs="Aptos"/>
        </w:rPr>
      </w:pPr>
      <w:r w:rsidRPr="53E82B22">
        <w:rPr>
          <w:rFonts w:ascii="Aptos" w:eastAsia="Aptos" w:hAnsi="Aptos" w:cs="Aptos"/>
          <w:sz w:val="22"/>
          <w:szCs w:val="22"/>
        </w:rPr>
        <w:t xml:space="preserve">Al respecto, en Perú, el </w:t>
      </w:r>
      <w:r w:rsidRPr="53E82B22">
        <w:rPr>
          <w:rFonts w:ascii="Aptos" w:eastAsia="Aptos" w:hAnsi="Aptos" w:cs="Aptos"/>
          <w:b/>
          <w:bCs/>
          <w:sz w:val="22"/>
          <w:szCs w:val="22"/>
        </w:rPr>
        <w:t>Ranking PAR</w:t>
      </w:r>
      <w:r w:rsidRPr="53E82B22">
        <w:rPr>
          <w:rFonts w:ascii="Aptos" w:eastAsia="Aptos" w:hAnsi="Aptos" w:cs="Aptos"/>
          <w:sz w:val="22"/>
          <w:szCs w:val="22"/>
        </w:rPr>
        <w:t xml:space="preserve"> se ha convertido e</w:t>
      </w:r>
      <w:r w:rsidR="006528DA">
        <w:rPr>
          <w:rFonts w:ascii="Aptos" w:eastAsia="Aptos" w:hAnsi="Aptos" w:cs="Aptos"/>
          <w:sz w:val="22"/>
          <w:szCs w:val="22"/>
        </w:rPr>
        <w:t>n</w:t>
      </w:r>
      <w:r w:rsidRPr="53E82B22">
        <w:rPr>
          <w:rFonts w:ascii="Aptos" w:eastAsia="Aptos" w:hAnsi="Aptos" w:cs="Aptos"/>
          <w:sz w:val="22"/>
          <w:szCs w:val="22"/>
        </w:rPr>
        <w:t xml:space="preserve"> el punto de partida estratégico para que las organizaciones midan y comparen su desempeño en equidad y diversidad</w:t>
      </w:r>
      <w:r w:rsidR="446143C7" w:rsidRPr="53E82B22">
        <w:rPr>
          <w:rFonts w:ascii="Aptos" w:eastAsia="Aptos" w:hAnsi="Aptos" w:cs="Aptos"/>
          <w:sz w:val="22"/>
          <w:szCs w:val="22"/>
        </w:rPr>
        <w:t xml:space="preserve">, y recientemente la </w:t>
      </w:r>
      <w:r w:rsidRPr="53E82B22">
        <w:rPr>
          <w:rFonts w:ascii="Aptos" w:eastAsia="Aptos" w:hAnsi="Aptos" w:cs="Aptos"/>
          <w:b/>
          <w:bCs/>
          <w:sz w:val="22"/>
          <w:szCs w:val="22"/>
        </w:rPr>
        <w:t>Certificación Aequales</w:t>
      </w:r>
      <w:r w:rsidRPr="53E82B22">
        <w:rPr>
          <w:rFonts w:ascii="Aptos" w:eastAsia="Aptos" w:hAnsi="Aptos" w:cs="Aptos"/>
          <w:sz w:val="22"/>
          <w:szCs w:val="22"/>
        </w:rPr>
        <w:t xml:space="preserve"> </w:t>
      </w:r>
      <w:r w:rsidR="6B53BCFD" w:rsidRPr="53E82B22">
        <w:rPr>
          <w:rFonts w:ascii="Aptos" w:eastAsia="Aptos" w:hAnsi="Aptos" w:cs="Aptos"/>
          <w:sz w:val="22"/>
          <w:szCs w:val="22"/>
        </w:rPr>
        <w:t xml:space="preserve">ha nacido para </w:t>
      </w:r>
      <w:r w:rsidRPr="53E82B22">
        <w:rPr>
          <w:rFonts w:ascii="Aptos" w:eastAsia="Aptos" w:hAnsi="Aptos" w:cs="Aptos"/>
          <w:sz w:val="22"/>
          <w:szCs w:val="22"/>
        </w:rPr>
        <w:t>valida</w:t>
      </w:r>
      <w:r w:rsidR="6C1FE84E" w:rsidRPr="53E82B22">
        <w:rPr>
          <w:rFonts w:ascii="Aptos" w:eastAsia="Aptos" w:hAnsi="Aptos" w:cs="Aptos"/>
          <w:sz w:val="22"/>
          <w:szCs w:val="22"/>
        </w:rPr>
        <w:t>r</w:t>
      </w:r>
      <w:r w:rsidRPr="53E82B22">
        <w:rPr>
          <w:rFonts w:ascii="Aptos" w:eastAsia="Aptos" w:hAnsi="Aptos" w:cs="Aptos"/>
          <w:sz w:val="22"/>
          <w:szCs w:val="22"/>
        </w:rPr>
        <w:t xml:space="preserve"> públicamente el compromiso real y da</w:t>
      </w:r>
      <w:r w:rsidR="00477EF2">
        <w:rPr>
          <w:rFonts w:ascii="Aptos" w:eastAsia="Aptos" w:hAnsi="Aptos" w:cs="Aptos"/>
          <w:sz w:val="22"/>
          <w:szCs w:val="22"/>
        </w:rPr>
        <w:t xml:space="preserve">r </w:t>
      </w:r>
      <w:r w:rsidRPr="53E82B22">
        <w:rPr>
          <w:rFonts w:ascii="Aptos" w:eastAsia="Aptos" w:hAnsi="Aptos" w:cs="Aptos"/>
          <w:sz w:val="22"/>
          <w:szCs w:val="22"/>
        </w:rPr>
        <w:t>visibilidad al esfuerzo.</w:t>
      </w:r>
      <w:r w:rsidR="0196E959" w:rsidRPr="53E82B22">
        <w:rPr>
          <w:rFonts w:ascii="Aptos" w:eastAsia="Aptos" w:hAnsi="Aptos" w:cs="Aptos"/>
          <w:sz w:val="22"/>
          <w:szCs w:val="22"/>
        </w:rPr>
        <w:t xml:space="preserve"> En ese sentido, </w:t>
      </w:r>
      <w:r w:rsidR="162E9226" w:rsidRPr="53E82B22">
        <w:rPr>
          <w:rFonts w:ascii="Aptos" w:eastAsia="Aptos" w:hAnsi="Aptos" w:cs="Aptos"/>
          <w:sz w:val="22"/>
          <w:szCs w:val="22"/>
        </w:rPr>
        <w:t xml:space="preserve">APOYO Comunicación, </w:t>
      </w:r>
      <w:r w:rsidR="04C808F7" w:rsidRPr="53E82B22">
        <w:rPr>
          <w:rFonts w:ascii="Aptos" w:eastAsia="Aptos" w:hAnsi="Aptos" w:cs="Aptos"/>
          <w:sz w:val="22"/>
          <w:szCs w:val="22"/>
        </w:rPr>
        <w:t xml:space="preserve">desde </w:t>
      </w:r>
      <w:r w:rsidR="162E9226" w:rsidRPr="53E82B22">
        <w:rPr>
          <w:rFonts w:ascii="Aptos" w:eastAsia="Aptos" w:hAnsi="Aptos" w:cs="Aptos"/>
          <w:sz w:val="22"/>
          <w:szCs w:val="22"/>
        </w:rPr>
        <w:t xml:space="preserve">su experiencia en este campo, </w:t>
      </w:r>
      <w:r w:rsidR="255F5A03" w:rsidRPr="53E82B22">
        <w:rPr>
          <w:rFonts w:ascii="Aptos" w:eastAsia="Aptos" w:hAnsi="Aptos" w:cs="Aptos"/>
          <w:sz w:val="22"/>
          <w:szCs w:val="22"/>
        </w:rPr>
        <w:t xml:space="preserve">comparte </w:t>
      </w:r>
      <w:r w:rsidR="1B393185" w:rsidRPr="53E82B22">
        <w:rPr>
          <w:rFonts w:ascii="Aptos" w:eastAsia="Aptos" w:hAnsi="Aptos" w:cs="Aptos"/>
          <w:sz w:val="22"/>
          <w:szCs w:val="22"/>
        </w:rPr>
        <w:t>cinco líneas de acción que cualquier empresa puede adoptar para impulsar una cultura más inclusiva y diversa.</w:t>
      </w:r>
    </w:p>
    <w:p w14:paraId="19E4E090" w14:textId="6FC2B4E1" w:rsidR="00BF6BB9" w:rsidRDefault="1FB7A55D" w:rsidP="4E0B41C6">
      <w:pPr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4E0B41C6">
        <w:rPr>
          <w:rFonts w:ascii="Aptos" w:eastAsia="Aptos" w:hAnsi="Aptos" w:cs="Aptos"/>
          <w:b/>
          <w:bCs/>
          <w:sz w:val="22"/>
          <w:szCs w:val="22"/>
        </w:rPr>
        <w:t>1. Implementar procesos inclusivos de atracción y gestión de talento</w:t>
      </w:r>
    </w:p>
    <w:p w14:paraId="2380B903" w14:textId="22C4A35D" w:rsidR="00BF6BB9" w:rsidRDefault="4B25C952" w:rsidP="4E0B41C6">
      <w:pPr>
        <w:jc w:val="both"/>
      </w:pPr>
      <w:r w:rsidRPr="636A638C">
        <w:rPr>
          <w:rFonts w:ascii="Aptos" w:eastAsia="Aptos" w:hAnsi="Aptos" w:cs="Aptos"/>
          <w:sz w:val="22"/>
          <w:szCs w:val="22"/>
        </w:rPr>
        <w:t>Diseñar convocatorias laborales con lenguaje inclusivo y no sexista, que faciliten la postulación de personas con discapacidad o de grupos subrepresentados. Un proceso inclusivo también implica establecer etapas y criterios de evaluación transparentes, con calendarios y requisitos claros. Asimismo, es fundamental que la incorporación del talento se acompañe de un programa de inducción que facilite la integración cultural y la adaptación al puesto. Este enfoque no solo amplía el espectro de perfiles, sino que fortalece la reputación de la organización como empleador inclusivo. Invertir en la accesibilidad y en metodologías de selección libres de sesgos es un paso estratégico para garantizar igualdad de oportunidades desde el primer contacto.</w:t>
      </w:r>
    </w:p>
    <w:p w14:paraId="78F23BBB" w14:textId="08C70CD6" w:rsidR="00BF6BB9" w:rsidRDefault="4B25C952" w:rsidP="4E0B41C6">
      <w:pPr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53E82B22">
        <w:rPr>
          <w:rFonts w:ascii="Aptos" w:eastAsia="Aptos" w:hAnsi="Aptos" w:cs="Aptos"/>
          <w:b/>
          <w:bCs/>
          <w:sz w:val="22"/>
          <w:szCs w:val="22"/>
        </w:rPr>
        <w:t>2. Formalizar políticas de igualdad salarial</w:t>
      </w:r>
    </w:p>
    <w:p w14:paraId="6008F73D" w14:textId="74503A6D" w:rsidR="00BF6BB9" w:rsidRDefault="1FB7A55D" w:rsidP="4E0B41C6">
      <w:pPr>
        <w:jc w:val="both"/>
      </w:pPr>
      <w:r w:rsidRPr="4E0B41C6">
        <w:rPr>
          <w:rFonts w:ascii="Aptos" w:eastAsia="Aptos" w:hAnsi="Aptos" w:cs="Aptos"/>
          <w:sz w:val="22"/>
          <w:szCs w:val="22"/>
        </w:rPr>
        <w:t>Una política de igualdad salarial formalizada y publicada internamente es una declaración explícita de compromiso con la equidad. Este documento debe ir acompañado de auditorías salariales periódicas para identificar y reducir brechas, especialmente de género. Además, es recomendable establecer mecanismos para atender reclamos o consultas sobre compensaciones de forma confidencial y segura. La transparencia en los criterios de pago y promoción fortalece la confianza del personal y fomenta una cultura de justicia interna. Implementar estos lineamientos de manera sistemática también facilita la atracción de talento, pues el mercado laboral valora cada vez más a los empleadores que garantizan una compensación justa y equitativa para todos.</w:t>
      </w:r>
    </w:p>
    <w:p w14:paraId="6A32C0C5" w14:textId="3AB07A5C" w:rsidR="00BF6BB9" w:rsidRDefault="1FB7A55D" w:rsidP="4E0B41C6">
      <w:pPr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4E0B41C6">
        <w:rPr>
          <w:rFonts w:ascii="Aptos" w:eastAsia="Aptos" w:hAnsi="Aptos" w:cs="Aptos"/>
          <w:b/>
          <w:bCs/>
          <w:sz w:val="22"/>
          <w:szCs w:val="22"/>
        </w:rPr>
        <w:t>3. Incorporar un enfoque interseccional en la gestión de datos y objetivos DEI</w:t>
      </w:r>
    </w:p>
    <w:p w14:paraId="2F508850" w14:textId="3B2C51BD" w:rsidR="00BF6BB9" w:rsidRDefault="1FB7A55D" w:rsidP="4E0B41C6">
      <w:pPr>
        <w:jc w:val="both"/>
      </w:pPr>
      <w:r w:rsidRPr="4E0B41C6">
        <w:rPr>
          <w:rFonts w:ascii="Aptos" w:eastAsia="Aptos" w:hAnsi="Aptos" w:cs="Aptos"/>
          <w:sz w:val="22"/>
          <w:szCs w:val="22"/>
        </w:rPr>
        <w:t xml:space="preserve">Un análisis interseccional va más allá de segmentar por género: considera dimensiones como discapacidad, identidad étnico-racial, edad, orientación sexual y neurodiversidad. Este enfoque permite identificar inequidades que pueden pasar desapercibidas en análisis tradicionales y diseñar soluciones personalizadas. Implementar un sistema de gestión de datos DEI robusto </w:t>
      </w:r>
      <w:r w:rsidRPr="4E0B41C6">
        <w:rPr>
          <w:rFonts w:ascii="Aptos" w:eastAsia="Aptos" w:hAnsi="Aptos" w:cs="Aptos"/>
          <w:sz w:val="22"/>
          <w:szCs w:val="22"/>
        </w:rPr>
        <w:lastRenderedPageBreak/>
        <w:t>implica recolectar información de manera voluntaria y segura, respetando la confidencialidad y protegiendo la identidad de las personas. A partir de estos datos, se pueden definir objetivos y metas claras que permitan medir avances reales, más allá del cumplimiento de actividades. Esta perspectiva integral es clave para construir políticas más efectivas y representativas de la diversidad interna.</w:t>
      </w:r>
    </w:p>
    <w:p w14:paraId="23EDA27A" w14:textId="56406D63" w:rsidR="00BF6BB9" w:rsidRDefault="1FB7A55D" w:rsidP="4E0B41C6">
      <w:pPr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4E0B41C6">
        <w:rPr>
          <w:rFonts w:ascii="Aptos" w:eastAsia="Aptos" w:hAnsi="Aptos" w:cs="Aptos"/>
          <w:b/>
          <w:bCs/>
          <w:sz w:val="22"/>
          <w:szCs w:val="22"/>
        </w:rPr>
        <w:t>4. Ofrecer beneficios que respondan a la diversidad de necesidades</w:t>
      </w:r>
    </w:p>
    <w:p w14:paraId="4E00E7B6" w14:textId="68777C70" w:rsidR="00BF6BB9" w:rsidRDefault="1FB7A55D" w:rsidP="4E0B41C6">
      <w:pPr>
        <w:jc w:val="both"/>
      </w:pPr>
      <w:r w:rsidRPr="53E82B22">
        <w:rPr>
          <w:rFonts w:ascii="Aptos" w:eastAsia="Aptos" w:hAnsi="Aptos" w:cs="Aptos"/>
          <w:sz w:val="22"/>
          <w:szCs w:val="22"/>
        </w:rPr>
        <w:t>Un paquete de beneficios inclusivo reconoce que no todas las personas tienen las mismas realidades ni prioridades. Esto puede incluir licencias extendidas por adopción, matrimonio o cuidado de familiares, o regreso escalonado tras la licencia parental. También implica ampliar la cobertura de beneficios de salud y bienestar a parejas del mismo sexo y fomentar políticas de flexibilidad como la bolsa de horas libres. La implementación de estos beneficios no solo mejora el bienestar del equipo, sino que proyecta un mensaje claro de respeto y cuidado hacia todas las identidades y circunstancias. Además, contribuye</w:t>
      </w:r>
      <w:r w:rsidR="614DC6A0" w:rsidRPr="53E82B22">
        <w:rPr>
          <w:rFonts w:ascii="Aptos" w:eastAsia="Aptos" w:hAnsi="Aptos" w:cs="Aptos"/>
          <w:sz w:val="22"/>
          <w:szCs w:val="22"/>
        </w:rPr>
        <w:t xml:space="preserve"> a mantener el </w:t>
      </w:r>
      <w:r w:rsidRPr="53E82B22">
        <w:rPr>
          <w:rFonts w:ascii="Aptos" w:eastAsia="Aptos" w:hAnsi="Aptos" w:cs="Aptos"/>
          <w:sz w:val="22"/>
          <w:szCs w:val="22"/>
        </w:rPr>
        <w:t>talento y a la construcción de relaciones laborales duraderas y satisfactorias.</w:t>
      </w:r>
    </w:p>
    <w:p w14:paraId="49E9591D" w14:textId="1BFDBE83" w:rsidR="00BF6BB9" w:rsidRDefault="1FB7A55D" w:rsidP="4E0B41C6">
      <w:pPr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4E0B41C6">
        <w:rPr>
          <w:rFonts w:ascii="Aptos" w:eastAsia="Aptos" w:hAnsi="Aptos" w:cs="Aptos"/>
          <w:b/>
          <w:bCs/>
          <w:sz w:val="22"/>
          <w:szCs w:val="22"/>
        </w:rPr>
        <w:t>5. Comunicar y visibilizar el compromiso con la equidad</w:t>
      </w:r>
    </w:p>
    <w:p w14:paraId="32874193" w14:textId="6CBE2BFB" w:rsidR="00BF6BB9" w:rsidRDefault="1FB7A55D" w:rsidP="4E0B41C6">
      <w:pPr>
        <w:jc w:val="both"/>
      </w:pPr>
      <w:r w:rsidRPr="53E82B22">
        <w:rPr>
          <w:rFonts w:ascii="Aptos" w:eastAsia="Aptos" w:hAnsi="Aptos" w:cs="Aptos"/>
          <w:sz w:val="22"/>
          <w:szCs w:val="22"/>
        </w:rPr>
        <w:t>No basta con implementar políticas inclusivas: es necesario comunicarlas de forma activa tanto al interior como al exterior de la organización. Esto incluye campañas internas, señalización en oficinas, capacitaciones y espacios de diálogo que fortalezcan la apropiación de la cultura inclusiva. Externamente, se recomienda difundir estos compromisos a través de canales corporativos, medios de comunicación y alianzas estratégicas, reforzando la reputación de la empresa como referente en equidad. La transparencia y la rendición de cuentas sobre los avances en DEI inspiran confianza entre clientes, aliados y comunidad. Comunicar bien es también un ejercicio de coherencia: lo que se dice debe estar respaldado por lo que se hace.</w:t>
      </w:r>
    </w:p>
    <w:p w14:paraId="3FA20677" w14:textId="653E6A42" w:rsidR="00BF6BB9" w:rsidRDefault="605C2A58" w:rsidP="4E0B41C6">
      <w:pPr>
        <w:spacing w:before="240" w:after="240"/>
        <w:jc w:val="both"/>
      </w:pPr>
      <w:r w:rsidRPr="636A638C">
        <w:rPr>
          <w:rFonts w:ascii="Aptos" w:eastAsia="Aptos" w:hAnsi="Aptos" w:cs="Aptos"/>
          <w:sz w:val="22"/>
          <w:szCs w:val="22"/>
        </w:rPr>
        <w:t xml:space="preserve">Por este tipo de prácticas, </w:t>
      </w:r>
      <w:r w:rsidR="0435C949" w:rsidRPr="636A638C">
        <w:rPr>
          <w:rFonts w:ascii="Aptos" w:eastAsia="Aptos" w:hAnsi="Aptos" w:cs="Aptos"/>
          <w:sz w:val="22"/>
          <w:szCs w:val="22"/>
        </w:rPr>
        <w:t xml:space="preserve">APOYO Comunicación ha obtenido la </w:t>
      </w:r>
      <w:r w:rsidR="0435C949" w:rsidRPr="636A638C">
        <w:rPr>
          <w:rFonts w:ascii="Aptos" w:eastAsia="Aptos" w:hAnsi="Aptos" w:cs="Aptos"/>
          <w:b/>
          <w:bCs/>
          <w:sz w:val="22"/>
          <w:szCs w:val="22"/>
        </w:rPr>
        <w:t>Certificación Aequales 2025 en el nivel Referente</w:t>
      </w:r>
      <w:r w:rsidR="0435C949" w:rsidRPr="636A638C">
        <w:rPr>
          <w:rFonts w:ascii="Aptos" w:eastAsia="Aptos" w:hAnsi="Aptos" w:cs="Aptos"/>
          <w:sz w:val="22"/>
          <w:szCs w:val="22"/>
        </w:rPr>
        <w:t>, un reconocimiento que valida su trabajo sistemático y el impacto positivo de sus prácticas en materia de diversidad, equidad e inclusión (DEI). Este logro, que sitúa a la organización entre las empresas líderes de la región, representa un impulso para continuar profundizando en su liderazgo inclusivo.</w:t>
      </w:r>
    </w:p>
    <w:p w14:paraId="33497156" w14:textId="4446C076" w:rsidR="0435C949" w:rsidRDefault="0435C949" w:rsidP="0010410E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636A638C">
        <w:rPr>
          <w:rFonts w:ascii="Aptos" w:eastAsia="Aptos" w:hAnsi="Aptos" w:cs="Aptos"/>
          <w:sz w:val="22"/>
          <w:szCs w:val="22"/>
        </w:rPr>
        <w:t xml:space="preserve">Desde su incorporación al </w:t>
      </w:r>
      <w:r w:rsidRPr="636A638C">
        <w:rPr>
          <w:rFonts w:ascii="Aptos" w:eastAsia="Aptos" w:hAnsi="Aptos" w:cs="Aptos"/>
          <w:b/>
          <w:bCs/>
          <w:sz w:val="22"/>
          <w:szCs w:val="22"/>
        </w:rPr>
        <w:t>Ranking PAR</w:t>
      </w:r>
      <w:r w:rsidRPr="636A638C">
        <w:rPr>
          <w:rFonts w:ascii="Aptos" w:eastAsia="Aptos" w:hAnsi="Aptos" w:cs="Aptos"/>
          <w:sz w:val="22"/>
          <w:szCs w:val="22"/>
        </w:rPr>
        <w:t xml:space="preserve"> en 2020, APOYO Comunicación ha sostenido un camino de mejora continua, adaptando y ampliando sus políticas alineadas con los más altos estándares regionales. </w:t>
      </w:r>
      <w:r>
        <w:br/>
      </w:r>
    </w:p>
    <w:p w14:paraId="0004AB59" w14:textId="4C0ECF4F" w:rsidR="5419BA77" w:rsidRDefault="5419BA77" w:rsidP="636A638C">
      <w:pPr>
        <w:spacing w:before="240" w:after="240"/>
        <w:jc w:val="both"/>
        <w:rPr>
          <w:i/>
          <w:iCs/>
          <w:sz w:val="16"/>
          <w:szCs w:val="16"/>
        </w:rPr>
      </w:pPr>
      <w:r w:rsidRPr="636A638C">
        <w:rPr>
          <w:b/>
          <w:bCs/>
          <w:i/>
          <w:iCs/>
          <w:sz w:val="16"/>
          <w:szCs w:val="16"/>
        </w:rPr>
        <w:t>Sobre APOYO Comunicación</w:t>
      </w:r>
      <w:r>
        <w:br/>
      </w:r>
      <w:r w:rsidRPr="636A638C">
        <w:rPr>
          <w:i/>
          <w:iCs/>
          <w:sz w:val="16"/>
          <w:szCs w:val="16"/>
        </w:rPr>
        <w:t xml:space="preserve"> APOYO Comunicación es una consultora líder en estrategias de comunicación, reconocida por su compromiso con la diversidad, equidad e inclusión. Su certificación Aequales 2025 en el nivel Referente valida la solidez de sus políticas, procesos y cultura organizacional, y refleja su propósito de construir entornos laborales seguros e inclusivos para todas las personas.</w:t>
      </w:r>
    </w:p>
    <w:p w14:paraId="4978FFF0" w14:textId="753BBF8C" w:rsidR="636A638C" w:rsidRDefault="636A638C" w:rsidP="636A638C">
      <w:pPr>
        <w:pStyle w:val="Piedepgina"/>
      </w:pPr>
    </w:p>
    <w:p w14:paraId="5C1A07E2" w14:textId="18C55187" w:rsidR="00BF6BB9" w:rsidRDefault="00BF6BB9" w:rsidP="4E0B41C6">
      <w:pPr>
        <w:jc w:val="both"/>
        <w:rPr>
          <w:rFonts w:ascii="Aptos" w:eastAsia="Aptos" w:hAnsi="Aptos" w:cs="Aptos"/>
          <w:sz w:val="22"/>
          <w:szCs w:val="22"/>
        </w:rPr>
      </w:pPr>
    </w:p>
    <w:sectPr w:rsidR="00BF6BB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3902" w14:textId="77777777" w:rsidR="00705446" w:rsidRDefault="00705446">
      <w:pPr>
        <w:spacing w:after="0" w:line="240" w:lineRule="auto"/>
      </w:pPr>
      <w:r>
        <w:separator/>
      </w:r>
    </w:p>
  </w:endnote>
  <w:endnote w:type="continuationSeparator" w:id="0">
    <w:p w14:paraId="02813200" w14:textId="77777777" w:rsidR="00705446" w:rsidRDefault="0070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311A" w14:textId="753BBF8C" w:rsidR="4E0B41C6" w:rsidRDefault="4E0B41C6" w:rsidP="4E0B4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33B6" w14:textId="77777777" w:rsidR="00705446" w:rsidRDefault="00705446">
      <w:pPr>
        <w:spacing w:after="0" w:line="240" w:lineRule="auto"/>
      </w:pPr>
      <w:r>
        <w:separator/>
      </w:r>
    </w:p>
  </w:footnote>
  <w:footnote w:type="continuationSeparator" w:id="0">
    <w:p w14:paraId="633A1F36" w14:textId="77777777" w:rsidR="00705446" w:rsidRDefault="0070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0B41C6" w14:paraId="7C2412FD" w14:textId="77777777" w:rsidTr="4E0B41C6">
      <w:trPr>
        <w:trHeight w:val="300"/>
      </w:trPr>
      <w:tc>
        <w:tcPr>
          <w:tcW w:w="3005" w:type="dxa"/>
        </w:tcPr>
        <w:p w14:paraId="27348EE5" w14:textId="2803A8E6" w:rsidR="4E0B41C6" w:rsidRDefault="4E0B41C6" w:rsidP="4E0B41C6">
          <w:pPr>
            <w:pStyle w:val="Encabezado"/>
            <w:ind w:left="-115"/>
          </w:pPr>
        </w:p>
      </w:tc>
      <w:tc>
        <w:tcPr>
          <w:tcW w:w="3005" w:type="dxa"/>
        </w:tcPr>
        <w:p w14:paraId="47F64250" w14:textId="23BC4047" w:rsidR="4E0B41C6" w:rsidRDefault="4E0B41C6" w:rsidP="4E0B41C6">
          <w:pPr>
            <w:pStyle w:val="Encabezado"/>
            <w:jc w:val="center"/>
          </w:pPr>
        </w:p>
      </w:tc>
      <w:tc>
        <w:tcPr>
          <w:tcW w:w="3005" w:type="dxa"/>
        </w:tcPr>
        <w:p w14:paraId="6EF49E99" w14:textId="012B70DD" w:rsidR="4E0B41C6" w:rsidRDefault="4E0B41C6" w:rsidP="4E0B41C6">
          <w:pPr>
            <w:pStyle w:val="Encabezado"/>
            <w:ind w:right="-115"/>
            <w:jc w:val="right"/>
          </w:pPr>
        </w:p>
      </w:tc>
    </w:tr>
  </w:tbl>
  <w:p w14:paraId="5874F05A" w14:textId="76108AB4" w:rsidR="4E0B41C6" w:rsidRDefault="4E0B41C6" w:rsidP="4E0B41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1F4E9"/>
    <w:multiLevelType w:val="hybridMultilevel"/>
    <w:tmpl w:val="2E22542C"/>
    <w:lvl w:ilvl="0" w:tplc="987AE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A3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F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8C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0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65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A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8B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C9FAA2"/>
    <w:rsid w:val="00040992"/>
    <w:rsid w:val="000C16B3"/>
    <w:rsid w:val="0010410E"/>
    <w:rsid w:val="00284EAC"/>
    <w:rsid w:val="00477EF2"/>
    <w:rsid w:val="006528DA"/>
    <w:rsid w:val="00705446"/>
    <w:rsid w:val="00742622"/>
    <w:rsid w:val="008A3F19"/>
    <w:rsid w:val="008C4F2F"/>
    <w:rsid w:val="009645DC"/>
    <w:rsid w:val="00BF6BB9"/>
    <w:rsid w:val="00DE39EE"/>
    <w:rsid w:val="00F35656"/>
    <w:rsid w:val="00F822D4"/>
    <w:rsid w:val="0196E959"/>
    <w:rsid w:val="0435C949"/>
    <w:rsid w:val="04C808F7"/>
    <w:rsid w:val="04DB53F0"/>
    <w:rsid w:val="07CB47D2"/>
    <w:rsid w:val="0884E62E"/>
    <w:rsid w:val="0CF0B42A"/>
    <w:rsid w:val="0F075C10"/>
    <w:rsid w:val="131C903F"/>
    <w:rsid w:val="1426ED41"/>
    <w:rsid w:val="15B20C79"/>
    <w:rsid w:val="162E9226"/>
    <w:rsid w:val="1764DFEF"/>
    <w:rsid w:val="1B393185"/>
    <w:rsid w:val="1BEAB686"/>
    <w:rsid w:val="1C149E1C"/>
    <w:rsid w:val="1ECCDE63"/>
    <w:rsid w:val="1FB7A55D"/>
    <w:rsid w:val="2227592C"/>
    <w:rsid w:val="255F5A03"/>
    <w:rsid w:val="262F87B2"/>
    <w:rsid w:val="26C9FAA2"/>
    <w:rsid w:val="2E79D752"/>
    <w:rsid w:val="3154AE1F"/>
    <w:rsid w:val="3D041741"/>
    <w:rsid w:val="40CB621C"/>
    <w:rsid w:val="42962D98"/>
    <w:rsid w:val="4456463D"/>
    <w:rsid w:val="446143C7"/>
    <w:rsid w:val="458F0133"/>
    <w:rsid w:val="46155E89"/>
    <w:rsid w:val="4641D4E9"/>
    <w:rsid w:val="47F3864D"/>
    <w:rsid w:val="485BC59E"/>
    <w:rsid w:val="49A5A00F"/>
    <w:rsid w:val="4B25C952"/>
    <w:rsid w:val="4C5834A0"/>
    <w:rsid w:val="4CD02D64"/>
    <w:rsid w:val="4CDA47B8"/>
    <w:rsid w:val="4E0B41C6"/>
    <w:rsid w:val="5132BCD8"/>
    <w:rsid w:val="5263DEB9"/>
    <w:rsid w:val="5379753F"/>
    <w:rsid w:val="53E82B22"/>
    <w:rsid w:val="5419BA77"/>
    <w:rsid w:val="570802EC"/>
    <w:rsid w:val="57A16BEE"/>
    <w:rsid w:val="57D9E91D"/>
    <w:rsid w:val="605C2A58"/>
    <w:rsid w:val="614DC6A0"/>
    <w:rsid w:val="61EF4206"/>
    <w:rsid w:val="62EBD2A0"/>
    <w:rsid w:val="6321178E"/>
    <w:rsid w:val="636A638C"/>
    <w:rsid w:val="646BCC88"/>
    <w:rsid w:val="67FC8756"/>
    <w:rsid w:val="6B53BCFD"/>
    <w:rsid w:val="6BC963D2"/>
    <w:rsid w:val="6BEE43F4"/>
    <w:rsid w:val="6C1FE84E"/>
    <w:rsid w:val="72AF8D96"/>
    <w:rsid w:val="74EC1A4C"/>
    <w:rsid w:val="74F5876F"/>
    <w:rsid w:val="7963D316"/>
    <w:rsid w:val="798745BB"/>
    <w:rsid w:val="7A5E7AD3"/>
    <w:rsid w:val="7D3EBDFA"/>
    <w:rsid w:val="7E87A371"/>
    <w:rsid w:val="7EC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9FAA2"/>
  <w15:chartTrackingRefBased/>
  <w15:docId w15:val="{FBF6DA40-C8CC-4B27-BB07-8643313B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4E0B41C6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4E0B41C6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09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09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09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99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636A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Eguiluz</dc:creator>
  <cp:keywords/>
  <dc:description/>
  <cp:lastModifiedBy>Fernando Gutiérrez</cp:lastModifiedBy>
  <cp:revision>9</cp:revision>
  <dcterms:created xsi:type="dcterms:W3CDTF">2025-08-11T17:02:00Z</dcterms:created>
  <dcterms:modified xsi:type="dcterms:W3CDTF">2025-09-04T20:37:00Z</dcterms:modified>
</cp:coreProperties>
</file>