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F63A63" w14:textId="2137510D" w:rsidR="006C11B3" w:rsidRPr="0093132E" w:rsidRDefault="00000000">
      <w:pPr>
        <w:pStyle w:val="P68B1DB1-Normal2"/>
        <w:jc w:val="center"/>
        <w:rPr>
          <w:rFonts w:ascii="IBM Plex Sans Medium" w:hAnsi="IBM Plex Sans Medium"/>
        </w:rPr>
      </w:pPr>
      <w:r w:rsidRPr="0093132E">
        <w:rPr>
          <w:rFonts w:ascii="IBM Plex Sans Medium" w:hAnsi="IBM Plex Sans Medium"/>
        </w:rPr>
        <w:t xml:space="preserve">IBM lanza </w:t>
      </w:r>
      <w:r w:rsidR="0054269C">
        <w:rPr>
          <w:rFonts w:ascii="IBM Plex Sans Medium" w:hAnsi="IBM Plex Sans Medium"/>
        </w:rPr>
        <w:t xml:space="preserve">iniciativa </w:t>
      </w:r>
      <w:r w:rsidRPr="0093132E">
        <w:rPr>
          <w:rFonts w:ascii="IBM Plex Sans Medium" w:hAnsi="IBM Plex Sans Medium"/>
        </w:rPr>
        <w:t>para acelerar soluciones globales</w:t>
      </w:r>
      <w:r w:rsidR="0093132E">
        <w:rPr>
          <w:rFonts w:ascii="IBM Plex Sans Medium" w:hAnsi="IBM Plex Sans Medium"/>
        </w:rPr>
        <w:br/>
      </w:r>
      <w:r w:rsidRPr="0093132E">
        <w:rPr>
          <w:rFonts w:ascii="IBM Plex Sans Medium" w:hAnsi="IBM Plex Sans Medium"/>
        </w:rPr>
        <w:t xml:space="preserve"> de gestión </w:t>
      </w:r>
      <w:r w:rsidR="003F1482" w:rsidRPr="0093132E">
        <w:rPr>
          <w:rFonts w:ascii="IBM Plex Sans Medium" w:hAnsi="IBM Plex Sans Medium"/>
        </w:rPr>
        <w:t>d</w:t>
      </w:r>
      <w:r w:rsidRPr="0093132E">
        <w:rPr>
          <w:rFonts w:ascii="IBM Plex Sans Medium" w:hAnsi="IBM Plex Sans Medium"/>
        </w:rPr>
        <w:t>el agua para poblaciones vulnerables</w:t>
      </w:r>
    </w:p>
    <w:p w14:paraId="3DE4745A" w14:textId="316C135B" w:rsidR="006C11B3" w:rsidRPr="0093132E" w:rsidRDefault="006C11B3">
      <w:pPr>
        <w:jc w:val="center"/>
        <w:rPr>
          <w:rFonts w:ascii="IBM Plex Sans Medium" w:hAnsi="IBM Plex Sans Medium"/>
          <w:b/>
          <w:bCs/>
          <w:sz w:val="20"/>
          <w:szCs w:val="20"/>
        </w:rPr>
      </w:pPr>
    </w:p>
    <w:p w14:paraId="0AC4AF2E" w14:textId="41846EF3" w:rsidR="006C11B3" w:rsidRPr="00B6403D" w:rsidRDefault="00000000" w:rsidP="00B6403D">
      <w:pPr>
        <w:pStyle w:val="P68B1DB1-ListParagraph3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6403D">
        <w:rPr>
          <w:rFonts w:asciiTheme="minorHAnsi" w:hAnsiTheme="minorHAnsi" w:cstheme="minorHAnsi"/>
          <w:sz w:val="22"/>
          <w:szCs w:val="22"/>
        </w:rPr>
        <w:t>IBM apoyará proyectos que puedan ayudar a mejorar el acceso a</w:t>
      </w:r>
      <w:r w:rsidR="00B6403D">
        <w:rPr>
          <w:rFonts w:asciiTheme="minorHAnsi" w:hAnsiTheme="minorHAnsi" w:cstheme="minorHAnsi"/>
          <w:sz w:val="22"/>
          <w:szCs w:val="22"/>
        </w:rPr>
        <w:t>l</w:t>
      </w:r>
      <w:r w:rsidRPr="00B6403D">
        <w:rPr>
          <w:rFonts w:asciiTheme="minorHAnsi" w:hAnsiTheme="minorHAnsi" w:cstheme="minorHAnsi"/>
          <w:sz w:val="22"/>
          <w:szCs w:val="22"/>
        </w:rPr>
        <w:t xml:space="preserve"> agua potable segura para todos, mejorar </w:t>
      </w:r>
      <w:r w:rsidR="00B6403D">
        <w:rPr>
          <w:rFonts w:asciiTheme="minorHAnsi" w:hAnsiTheme="minorHAnsi" w:cstheme="minorHAnsi"/>
          <w:sz w:val="22"/>
          <w:szCs w:val="22"/>
        </w:rPr>
        <w:t>su</w:t>
      </w:r>
      <w:r w:rsidRPr="00B6403D">
        <w:rPr>
          <w:rFonts w:asciiTheme="minorHAnsi" w:hAnsiTheme="minorHAnsi" w:cstheme="minorHAnsi"/>
          <w:sz w:val="22"/>
          <w:szCs w:val="22"/>
        </w:rPr>
        <w:t xml:space="preserve"> calidad reduciendo la contaminación, </w:t>
      </w:r>
      <w:r w:rsidR="003F1482" w:rsidRPr="00B6403D">
        <w:rPr>
          <w:rFonts w:asciiTheme="minorHAnsi" w:hAnsiTheme="minorHAnsi" w:cstheme="minorHAnsi"/>
          <w:sz w:val="22"/>
          <w:szCs w:val="22"/>
        </w:rPr>
        <w:t xml:space="preserve">incrementar </w:t>
      </w:r>
      <w:r w:rsidRPr="00B6403D">
        <w:rPr>
          <w:rFonts w:asciiTheme="minorHAnsi" w:hAnsiTheme="minorHAnsi" w:cstheme="minorHAnsi"/>
          <w:sz w:val="22"/>
          <w:szCs w:val="22"/>
        </w:rPr>
        <w:t xml:space="preserve">la eficiencia </w:t>
      </w:r>
      <w:r w:rsidR="00B6403D">
        <w:rPr>
          <w:rFonts w:asciiTheme="minorHAnsi" w:hAnsiTheme="minorHAnsi" w:cstheme="minorHAnsi"/>
          <w:sz w:val="22"/>
          <w:szCs w:val="22"/>
        </w:rPr>
        <w:t>su uso</w:t>
      </w:r>
      <w:r w:rsidR="004E3A4C" w:rsidRPr="00B6403D">
        <w:rPr>
          <w:rFonts w:asciiTheme="minorHAnsi" w:hAnsiTheme="minorHAnsi" w:cstheme="minorHAnsi"/>
          <w:sz w:val="22"/>
          <w:szCs w:val="22"/>
        </w:rPr>
        <w:t xml:space="preserve">, </w:t>
      </w:r>
      <w:r w:rsidRPr="00B6403D">
        <w:rPr>
          <w:rFonts w:asciiTheme="minorHAnsi" w:hAnsiTheme="minorHAnsi" w:cstheme="minorHAnsi"/>
          <w:sz w:val="22"/>
          <w:szCs w:val="22"/>
        </w:rPr>
        <w:t>proteger y restaurar los ecosistemas relacionados, aumentar la gestión del saneamiento y reducir el número de personas que sufren escasez de agua.</w:t>
      </w:r>
    </w:p>
    <w:p w14:paraId="1D312145" w14:textId="14D36F3A" w:rsidR="006C11B3" w:rsidRPr="00B6403D" w:rsidRDefault="00BE3CC2" w:rsidP="00B6403D">
      <w:pPr>
        <w:pStyle w:val="P68B1DB1-ListParagraph4"/>
        <w:numPr>
          <w:ilvl w:val="0"/>
          <w:numId w:val="1"/>
        </w:numPr>
        <w:jc w:val="both"/>
        <w:rPr>
          <w:rFonts w:asciiTheme="minorHAnsi" w:eastAsia="IBM Plex Sans" w:hAnsiTheme="minorHAnsi" w:cstheme="minorHAnsi"/>
          <w:sz w:val="22"/>
          <w:szCs w:val="22"/>
        </w:rPr>
      </w:pPr>
      <w:r w:rsidRPr="00B6403D">
        <w:rPr>
          <w:rFonts w:asciiTheme="minorHAnsi" w:hAnsiTheme="minorHAnsi" w:cstheme="minorHAnsi"/>
          <w:sz w:val="22"/>
          <w:szCs w:val="22"/>
        </w:rPr>
        <w:t xml:space="preserve">El RFP de </w:t>
      </w:r>
      <w:r w:rsidR="00B6403D" w:rsidRPr="00B6403D">
        <w:rPr>
          <w:rFonts w:asciiTheme="minorHAnsi" w:hAnsiTheme="minorHAnsi" w:cstheme="minorHAnsi"/>
          <w:sz w:val="22"/>
          <w:szCs w:val="22"/>
        </w:rPr>
        <w:t>este año</w:t>
      </w:r>
      <w:r w:rsidRPr="00B6403D">
        <w:rPr>
          <w:rFonts w:asciiTheme="minorHAnsi" w:hAnsiTheme="minorHAnsi" w:cstheme="minorHAnsi"/>
          <w:sz w:val="22"/>
          <w:szCs w:val="22"/>
        </w:rPr>
        <w:t xml:space="preserve"> tendrá</w:t>
      </w:r>
      <w:r w:rsidR="003F1482" w:rsidRPr="00B6403D">
        <w:rPr>
          <w:rFonts w:asciiTheme="minorHAnsi" w:hAnsiTheme="minorHAnsi" w:cstheme="minorHAnsi"/>
          <w:sz w:val="22"/>
          <w:szCs w:val="22"/>
        </w:rPr>
        <w:t xml:space="preserve"> representantes de Water.org y del Programa de las Naciones Unidas para el Desarrollo</w:t>
      </w:r>
      <w:r w:rsidRPr="00B6403D">
        <w:rPr>
          <w:rFonts w:asciiTheme="minorHAnsi" w:hAnsiTheme="minorHAnsi" w:cstheme="minorHAnsi"/>
          <w:sz w:val="22"/>
          <w:szCs w:val="22"/>
        </w:rPr>
        <w:t xml:space="preserve"> como parte del proceso de selección</w:t>
      </w:r>
      <w:r w:rsidR="003F1482" w:rsidRPr="00B6403D">
        <w:rPr>
          <w:rFonts w:asciiTheme="minorHAnsi" w:hAnsiTheme="minorHAnsi" w:cstheme="minorHAnsi"/>
          <w:sz w:val="22"/>
          <w:szCs w:val="22"/>
        </w:rPr>
        <w:t>.</w:t>
      </w:r>
    </w:p>
    <w:p w14:paraId="7212E06A" w14:textId="0A8CB842" w:rsidR="006C11B3" w:rsidRPr="00B6403D" w:rsidRDefault="006C11B3" w:rsidP="00B6403D">
      <w:pPr>
        <w:jc w:val="both"/>
        <w:rPr>
          <w:rStyle w:val="xn-location"/>
          <w:rFonts w:cstheme="minorHAnsi"/>
          <w:sz w:val="22"/>
          <w:szCs w:val="22"/>
        </w:rPr>
      </w:pPr>
    </w:p>
    <w:p w14:paraId="52C97604" w14:textId="67C7502F" w:rsidR="006C11B3" w:rsidRPr="00B6403D" w:rsidRDefault="00B6403D" w:rsidP="00B6403D">
      <w:pPr>
        <w:jc w:val="both"/>
        <w:rPr>
          <w:rFonts w:cstheme="minorHAnsi"/>
          <w:sz w:val="22"/>
          <w:szCs w:val="22"/>
        </w:rPr>
      </w:pPr>
      <w:r w:rsidRPr="00B6403D">
        <w:rPr>
          <w:rFonts w:cstheme="minorHAnsi"/>
          <w:sz w:val="22"/>
          <w:szCs w:val="22"/>
        </w:rPr>
        <w:t xml:space="preserve">Lima, marzo 2023 </w:t>
      </w:r>
      <w:r w:rsidR="00BE3CC2" w:rsidRPr="00B6403D">
        <w:rPr>
          <w:rFonts w:cstheme="minorHAnsi"/>
          <w:sz w:val="22"/>
          <w:szCs w:val="22"/>
        </w:rPr>
        <w:t>- IB</w:t>
      </w:r>
      <w:r w:rsidR="00BE3CC2" w:rsidRPr="00B6403D">
        <w:rPr>
          <w:rStyle w:val="xn-location"/>
          <w:rFonts w:cstheme="minorHAnsi"/>
          <w:sz w:val="22"/>
          <w:szCs w:val="22"/>
        </w:rPr>
        <w:t xml:space="preserve">M </w:t>
      </w:r>
      <w:r w:rsidR="00BE3CC2" w:rsidRPr="00B6403D">
        <w:rPr>
          <w:rFonts w:cstheme="minorHAnsi"/>
          <w:sz w:val="22"/>
          <w:szCs w:val="22"/>
        </w:rPr>
        <w:t xml:space="preserve">anunció hoy que </w:t>
      </w:r>
      <w:r w:rsidR="003F1482" w:rsidRPr="00B6403D">
        <w:rPr>
          <w:rFonts w:cstheme="minorHAnsi"/>
          <w:sz w:val="22"/>
          <w:szCs w:val="22"/>
        </w:rPr>
        <w:t xml:space="preserve">está </w:t>
      </w:r>
      <w:r w:rsidR="00BE3CC2" w:rsidRPr="00B6403D">
        <w:rPr>
          <w:rFonts w:cstheme="minorHAnsi"/>
          <w:sz w:val="22"/>
          <w:szCs w:val="22"/>
        </w:rPr>
        <w:t>acepta</w:t>
      </w:r>
      <w:r w:rsidR="003F1482" w:rsidRPr="00B6403D">
        <w:rPr>
          <w:rFonts w:cstheme="minorHAnsi"/>
          <w:sz w:val="22"/>
          <w:szCs w:val="22"/>
        </w:rPr>
        <w:t>ndo</w:t>
      </w:r>
      <w:r w:rsidR="00BE3CC2" w:rsidRPr="00B6403D">
        <w:rPr>
          <w:rFonts w:cstheme="minorHAnsi"/>
          <w:sz w:val="22"/>
          <w:szCs w:val="22"/>
        </w:rPr>
        <w:t xml:space="preserve"> propuestas para </w:t>
      </w:r>
      <w:r w:rsidR="003F1482" w:rsidRPr="00B6403D">
        <w:rPr>
          <w:rFonts w:cstheme="minorHAnsi"/>
          <w:sz w:val="22"/>
          <w:szCs w:val="22"/>
        </w:rPr>
        <w:t>la</w:t>
      </w:r>
      <w:r w:rsidR="00BE3CC2" w:rsidRPr="00B6403D">
        <w:rPr>
          <w:rFonts w:cstheme="minorHAnsi"/>
          <w:sz w:val="22"/>
          <w:szCs w:val="22"/>
        </w:rPr>
        <w:t xml:space="preserve"> próxim</w:t>
      </w:r>
      <w:r w:rsidR="003F1482" w:rsidRPr="00B6403D">
        <w:rPr>
          <w:rFonts w:cstheme="minorHAnsi"/>
          <w:sz w:val="22"/>
          <w:szCs w:val="22"/>
        </w:rPr>
        <w:t>a</w:t>
      </w:r>
      <w:r w:rsidR="00BE3CC2" w:rsidRPr="00B6403D">
        <w:rPr>
          <w:rFonts w:cstheme="minorHAnsi"/>
          <w:sz w:val="22"/>
          <w:szCs w:val="22"/>
        </w:rPr>
        <w:t xml:space="preserve"> </w:t>
      </w:r>
      <w:r w:rsidR="003F1482" w:rsidRPr="00B6403D">
        <w:rPr>
          <w:rFonts w:cstheme="minorHAnsi"/>
          <w:sz w:val="22"/>
          <w:szCs w:val="22"/>
        </w:rPr>
        <w:t xml:space="preserve">cohorte </w:t>
      </w:r>
      <w:r w:rsidR="00BE3CC2" w:rsidRPr="00B6403D">
        <w:rPr>
          <w:rFonts w:cstheme="minorHAnsi"/>
          <w:sz w:val="22"/>
          <w:szCs w:val="22"/>
        </w:rPr>
        <w:t xml:space="preserve">del </w:t>
      </w:r>
      <w:hyperlink r:id="rId7">
        <w:r w:rsidR="00BE3CC2" w:rsidRPr="00B6403D">
          <w:rPr>
            <w:rStyle w:val="Hipervnculo"/>
            <w:rFonts w:cstheme="minorHAnsi"/>
            <w:sz w:val="22"/>
            <w:szCs w:val="22"/>
            <w:lang w:val="pt-BR" w:eastAsia="en-US"/>
          </w:rPr>
          <w:t>IBM Sustainability Accelerator</w:t>
        </w:r>
      </w:hyperlink>
      <w:r w:rsidR="00BE3CC2" w:rsidRPr="00B6403D">
        <w:rPr>
          <w:rStyle w:val="Hipervnculo"/>
          <w:rFonts w:cstheme="minorHAnsi"/>
          <w:color w:val="auto"/>
          <w:sz w:val="22"/>
          <w:szCs w:val="22"/>
          <w:u w:val="none"/>
        </w:rPr>
        <w:t xml:space="preserve">, que </w:t>
      </w:r>
      <w:r w:rsidR="003F1482" w:rsidRPr="00B6403D">
        <w:rPr>
          <w:rStyle w:val="Hipervnculo"/>
          <w:rFonts w:cstheme="minorHAnsi"/>
          <w:color w:val="auto"/>
          <w:sz w:val="22"/>
          <w:szCs w:val="22"/>
          <w:u w:val="none"/>
        </w:rPr>
        <w:t xml:space="preserve">se enfocará </w:t>
      </w:r>
      <w:r w:rsidR="00BE3CC2" w:rsidRPr="00B6403D">
        <w:rPr>
          <w:rStyle w:val="Hipervnculo"/>
          <w:rFonts w:cstheme="minorHAnsi"/>
          <w:color w:val="auto"/>
          <w:sz w:val="22"/>
          <w:szCs w:val="22"/>
          <w:u w:val="none"/>
        </w:rPr>
        <w:t>en</w:t>
      </w:r>
      <w:r w:rsidR="003F1482" w:rsidRPr="00B6403D">
        <w:rPr>
          <w:rStyle w:val="Hipervnculo"/>
          <w:rFonts w:cstheme="minorHAnsi"/>
          <w:color w:val="auto"/>
          <w:sz w:val="22"/>
          <w:szCs w:val="22"/>
          <w:u w:val="none"/>
        </w:rPr>
        <w:t xml:space="preserve"> </w:t>
      </w:r>
      <w:r w:rsidR="00BE3CC2" w:rsidRPr="00B6403D">
        <w:rPr>
          <w:rFonts w:cstheme="minorHAnsi"/>
          <w:sz w:val="22"/>
          <w:szCs w:val="22"/>
        </w:rPr>
        <w:t>soluciones de gestión del agua.</w:t>
      </w:r>
      <w:r w:rsidR="003F1482" w:rsidRPr="00B6403D">
        <w:rPr>
          <w:rFonts w:cstheme="minorHAnsi"/>
          <w:sz w:val="22"/>
          <w:szCs w:val="22"/>
        </w:rPr>
        <w:t xml:space="preserve"> </w:t>
      </w:r>
      <w:r w:rsidR="00BE3CC2" w:rsidRPr="00B6403D">
        <w:rPr>
          <w:rFonts w:cstheme="minorHAnsi"/>
          <w:sz w:val="22"/>
          <w:szCs w:val="22"/>
        </w:rPr>
        <w:t>Este programa aplica tecnologías de IBM, como la nube híbrida y la inteligencia artificial</w:t>
      </w:r>
      <w:r w:rsidR="003F1482" w:rsidRPr="00B6403D">
        <w:rPr>
          <w:rFonts w:cstheme="minorHAnsi"/>
          <w:sz w:val="22"/>
          <w:szCs w:val="22"/>
        </w:rPr>
        <w:t>,</w:t>
      </w:r>
      <w:r w:rsidR="00BE3CC2" w:rsidRPr="00B6403D">
        <w:rPr>
          <w:rFonts w:cstheme="minorHAnsi"/>
          <w:sz w:val="22"/>
          <w:szCs w:val="22"/>
        </w:rPr>
        <w:t xml:space="preserve"> y un ecosistema de expertos para </w:t>
      </w:r>
      <w:r w:rsidR="003F1482" w:rsidRPr="00B6403D">
        <w:rPr>
          <w:rFonts w:cstheme="minorHAnsi"/>
          <w:sz w:val="22"/>
          <w:szCs w:val="22"/>
        </w:rPr>
        <w:t xml:space="preserve">potenciar </w:t>
      </w:r>
      <w:r w:rsidR="00BE3CC2" w:rsidRPr="00B6403D">
        <w:rPr>
          <w:rFonts w:cstheme="minorHAnsi"/>
          <w:sz w:val="22"/>
          <w:szCs w:val="22"/>
        </w:rPr>
        <w:t xml:space="preserve">y </w:t>
      </w:r>
      <w:r w:rsidR="003F1482" w:rsidRPr="00B6403D">
        <w:rPr>
          <w:rFonts w:cstheme="minorHAnsi"/>
          <w:sz w:val="22"/>
          <w:szCs w:val="22"/>
        </w:rPr>
        <w:t xml:space="preserve">escalar </w:t>
      </w:r>
      <w:r w:rsidR="00BE3CC2" w:rsidRPr="00B6403D">
        <w:rPr>
          <w:rFonts w:cstheme="minorHAnsi"/>
          <w:sz w:val="22"/>
          <w:szCs w:val="22"/>
        </w:rPr>
        <w:t xml:space="preserve">proyectos </w:t>
      </w:r>
      <w:r w:rsidR="00AA35FC" w:rsidRPr="00B6403D">
        <w:rPr>
          <w:rFonts w:cstheme="minorHAnsi"/>
          <w:sz w:val="22"/>
          <w:szCs w:val="22"/>
        </w:rPr>
        <w:t xml:space="preserve">enfocados </w:t>
      </w:r>
      <w:r w:rsidR="00BE3CC2" w:rsidRPr="00B6403D">
        <w:rPr>
          <w:rFonts w:cstheme="minorHAnsi"/>
          <w:sz w:val="22"/>
          <w:szCs w:val="22"/>
        </w:rPr>
        <w:t>en poblaciones vulnerables a las amenazas ambientales.</w:t>
      </w:r>
    </w:p>
    <w:p w14:paraId="76060A5F" w14:textId="2F6A2F54" w:rsidR="00AA35FC" w:rsidRPr="00B6403D" w:rsidRDefault="00000000" w:rsidP="00B6403D">
      <w:pPr>
        <w:pStyle w:val="P68B1DB1-Normal6"/>
        <w:jc w:val="both"/>
        <w:rPr>
          <w:rFonts w:asciiTheme="minorHAnsi" w:hAnsiTheme="minorHAnsi" w:cstheme="minorHAnsi"/>
          <w:sz w:val="22"/>
          <w:szCs w:val="22"/>
        </w:rPr>
      </w:pPr>
      <w:r w:rsidRPr="00B6403D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8462571" w14:textId="77FFCB1F" w:rsidR="00AA35FC" w:rsidRPr="00B6403D" w:rsidRDefault="00AA35FC" w:rsidP="00B6403D">
      <w:pPr>
        <w:pStyle w:val="P68B1DB1-Normal6"/>
        <w:jc w:val="both"/>
        <w:rPr>
          <w:rFonts w:asciiTheme="minorHAnsi" w:hAnsiTheme="minorHAnsi" w:cstheme="minorHAnsi"/>
          <w:sz w:val="22"/>
          <w:szCs w:val="22"/>
        </w:rPr>
      </w:pPr>
      <w:r w:rsidRPr="00B6403D">
        <w:rPr>
          <w:rFonts w:asciiTheme="minorHAnsi" w:hAnsiTheme="minorHAnsi" w:cstheme="minorHAnsi"/>
          <w:sz w:val="22"/>
          <w:szCs w:val="22"/>
        </w:rPr>
        <w:t xml:space="preserve">Según la Organización Mundial de la Salud, </w:t>
      </w:r>
      <w:hyperlink r:id="rId8" w:history="1">
        <w:r w:rsidRPr="00B6403D">
          <w:rPr>
            <w:rStyle w:val="Hipervnculo"/>
            <w:rFonts w:asciiTheme="minorHAnsi" w:hAnsiTheme="minorHAnsi" w:cstheme="minorHAnsi"/>
            <w:sz w:val="22"/>
            <w:szCs w:val="22"/>
          </w:rPr>
          <w:t>más de 2 mil millones de personas viven en países con escasez de agua.</w:t>
        </w:r>
      </w:hyperlink>
      <w:r w:rsidR="00026B59" w:rsidRPr="00B6403D">
        <w:rPr>
          <w:rFonts w:asciiTheme="minorHAnsi" w:hAnsiTheme="minorHAnsi" w:cstheme="minorHAnsi"/>
          <w:sz w:val="22"/>
          <w:szCs w:val="22"/>
        </w:rPr>
        <w:t xml:space="preserve"> De hecho, en Latinoamérica, cerca de 150 millones de personas ya viven en zonas con escasez de agua, lo que corresponde al 23% de la población, </w:t>
      </w:r>
      <w:hyperlink r:id="rId9" w:history="1">
        <w:r w:rsidR="00026B59" w:rsidRPr="00B6403D">
          <w:rPr>
            <w:rStyle w:val="Hipervnculo"/>
            <w:rFonts w:asciiTheme="minorHAnsi" w:hAnsiTheme="minorHAnsi" w:cstheme="minorHAnsi"/>
            <w:sz w:val="22"/>
            <w:szCs w:val="22"/>
          </w:rPr>
          <w:t>según el Banco Mundial.</w:t>
        </w:r>
      </w:hyperlink>
      <w:r w:rsidR="00026B59" w:rsidRPr="00B6403D">
        <w:rPr>
          <w:rFonts w:asciiTheme="minorHAnsi" w:hAnsiTheme="minorHAnsi" w:cstheme="minorHAnsi"/>
          <w:sz w:val="22"/>
          <w:szCs w:val="22"/>
        </w:rPr>
        <w:t xml:space="preserve"> Y se espera que este desafío se agrave en algunas regiones como resultado del cambio climático y el crecimiento de la población.</w:t>
      </w:r>
      <w:r w:rsidRPr="00B6403D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99F9B4A" w14:textId="77777777" w:rsidR="00AA35FC" w:rsidRPr="00B6403D" w:rsidRDefault="00AA35FC" w:rsidP="00B6403D">
      <w:pPr>
        <w:pStyle w:val="P68B1DB1-Normal7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5D949CA2" w14:textId="13BB82C1" w:rsidR="00AA35FC" w:rsidRPr="00B6403D" w:rsidRDefault="00000000" w:rsidP="00B6403D">
      <w:pPr>
        <w:pStyle w:val="P68B1DB1-Normal6"/>
        <w:jc w:val="both"/>
        <w:rPr>
          <w:rFonts w:asciiTheme="minorHAnsi" w:hAnsiTheme="minorHAnsi" w:cstheme="minorHAnsi"/>
          <w:sz w:val="22"/>
          <w:szCs w:val="22"/>
        </w:rPr>
      </w:pPr>
      <w:r w:rsidRPr="00B6403D">
        <w:rPr>
          <w:rFonts w:asciiTheme="minorHAnsi" w:hAnsiTheme="minorHAnsi" w:cstheme="minorHAnsi"/>
          <w:sz w:val="22"/>
          <w:szCs w:val="22"/>
        </w:rPr>
        <w:t>En consonancia con el Objetivo de Desarrollo Sostenible (ODS) 6 de las Naciones Unidas, IBM buscará apoyar proyectos que ayuden a mejorar el acceso equitativo al agua potable segura para todos, mejor</w:t>
      </w:r>
      <w:r w:rsidR="00AA35FC" w:rsidRPr="00B6403D">
        <w:rPr>
          <w:rFonts w:asciiTheme="minorHAnsi" w:hAnsiTheme="minorHAnsi" w:cstheme="minorHAnsi"/>
          <w:sz w:val="22"/>
          <w:szCs w:val="22"/>
        </w:rPr>
        <w:t>en</w:t>
      </w:r>
      <w:r w:rsidRPr="00B6403D">
        <w:rPr>
          <w:rFonts w:asciiTheme="minorHAnsi" w:hAnsiTheme="minorHAnsi" w:cstheme="minorHAnsi"/>
          <w:sz w:val="22"/>
          <w:szCs w:val="22"/>
        </w:rPr>
        <w:t xml:space="preserve"> la calidad del agua reduciendo la contaminación, aument</w:t>
      </w:r>
      <w:r w:rsidR="00AA35FC" w:rsidRPr="00B6403D">
        <w:rPr>
          <w:rFonts w:asciiTheme="minorHAnsi" w:hAnsiTheme="minorHAnsi" w:cstheme="minorHAnsi"/>
          <w:sz w:val="22"/>
          <w:szCs w:val="22"/>
        </w:rPr>
        <w:t>en</w:t>
      </w:r>
      <w:r w:rsidRPr="00B6403D">
        <w:rPr>
          <w:rFonts w:asciiTheme="minorHAnsi" w:hAnsiTheme="minorHAnsi" w:cstheme="minorHAnsi"/>
          <w:sz w:val="22"/>
          <w:szCs w:val="22"/>
        </w:rPr>
        <w:t xml:space="preserve"> la eficiencia del uso del agua en todos los sectores, </w:t>
      </w:r>
      <w:r w:rsidRPr="00B6403D">
        <w:rPr>
          <w:rFonts w:asciiTheme="minorHAnsi" w:eastAsia="IBM Plex Sans" w:hAnsiTheme="minorHAnsi" w:cstheme="minorHAnsi"/>
          <w:sz w:val="22"/>
          <w:szCs w:val="22"/>
        </w:rPr>
        <w:t>prot</w:t>
      </w:r>
      <w:r w:rsidR="00AA35FC" w:rsidRPr="00B6403D">
        <w:rPr>
          <w:rFonts w:asciiTheme="minorHAnsi" w:eastAsia="IBM Plex Sans" w:hAnsiTheme="minorHAnsi" w:cstheme="minorHAnsi"/>
          <w:sz w:val="22"/>
          <w:szCs w:val="22"/>
        </w:rPr>
        <w:t>ejan</w:t>
      </w:r>
      <w:r w:rsidRPr="00B6403D">
        <w:rPr>
          <w:rFonts w:asciiTheme="minorHAnsi" w:eastAsia="IBM Plex Sans" w:hAnsiTheme="minorHAnsi" w:cstheme="minorHAnsi"/>
          <w:sz w:val="22"/>
          <w:szCs w:val="22"/>
        </w:rPr>
        <w:t xml:space="preserve"> y rest</w:t>
      </w:r>
      <w:r w:rsidR="00AA35FC" w:rsidRPr="00B6403D">
        <w:rPr>
          <w:rFonts w:asciiTheme="minorHAnsi" w:eastAsia="IBM Plex Sans" w:hAnsiTheme="minorHAnsi" w:cstheme="minorHAnsi"/>
          <w:sz w:val="22"/>
          <w:szCs w:val="22"/>
        </w:rPr>
        <w:t>ablezcan</w:t>
      </w:r>
      <w:r w:rsidRPr="00B6403D">
        <w:rPr>
          <w:rFonts w:asciiTheme="minorHAnsi" w:eastAsia="IBM Plex Sans" w:hAnsiTheme="minorHAnsi" w:cstheme="minorHAnsi"/>
          <w:sz w:val="22"/>
          <w:szCs w:val="22"/>
        </w:rPr>
        <w:t xml:space="preserve"> los ecosistemas relacionados con el agua, aumen</w:t>
      </w:r>
      <w:r w:rsidR="00AA35FC" w:rsidRPr="00B6403D">
        <w:rPr>
          <w:rFonts w:asciiTheme="minorHAnsi" w:eastAsia="IBM Plex Sans" w:hAnsiTheme="minorHAnsi" w:cstheme="minorHAnsi"/>
          <w:sz w:val="22"/>
          <w:szCs w:val="22"/>
        </w:rPr>
        <w:t>ten</w:t>
      </w:r>
      <w:r w:rsidRPr="00B6403D">
        <w:rPr>
          <w:rFonts w:asciiTheme="minorHAnsi" w:eastAsia="IBM Plex Sans" w:hAnsiTheme="minorHAnsi" w:cstheme="minorHAnsi"/>
          <w:sz w:val="22"/>
          <w:szCs w:val="22"/>
        </w:rPr>
        <w:t xml:space="preserve"> la gestión del saneamiento y redu</w:t>
      </w:r>
      <w:r w:rsidR="00AA35FC" w:rsidRPr="00B6403D">
        <w:rPr>
          <w:rFonts w:asciiTheme="minorHAnsi" w:eastAsia="IBM Plex Sans" w:hAnsiTheme="minorHAnsi" w:cstheme="minorHAnsi"/>
          <w:sz w:val="22"/>
          <w:szCs w:val="22"/>
        </w:rPr>
        <w:t>zcan</w:t>
      </w:r>
      <w:r w:rsidRPr="00B6403D">
        <w:rPr>
          <w:rFonts w:asciiTheme="minorHAnsi" w:eastAsia="IBM Plex Sans" w:hAnsiTheme="minorHAnsi" w:cstheme="minorHAnsi"/>
          <w:sz w:val="22"/>
          <w:szCs w:val="22"/>
        </w:rPr>
        <w:t xml:space="preserve"> el número de personas que sufren escasez de agua,</w:t>
      </w:r>
      <w:r w:rsidRPr="00B6403D">
        <w:rPr>
          <w:rFonts w:asciiTheme="minorHAnsi" w:hAnsiTheme="minorHAnsi" w:cstheme="minorHAnsi"/>
          <w:sz w:val="22"/>
          <w:szCs w:val="22"/>
        </w:rPr>
        <w:t xml:space="preserve"> entre otr</w:t>
      </w:r>
      <w:r w:rsidR="00AA35FC" w:rsidRPr="00B6403D">
        <w:rPr>
          <w:rFonts w:asciiTheme="minorHAnsi" w:hAnsiTheme="minorHAnsi" w:cstheme="minorHAnsi"/>
          <w:sz w:val="22"/>
          <w:szCs w:val="22"/>
        </w:rPr>
        <w:t>o</w:t>
      </w:r>
      <w:r w:rsidRPr="00B6403D">
        <w:rPr>
          <w:rFonts w:asciiTheme="minorHAnsi" w:hAnsiTheme="minorHAnsi" w:cstheme="minorHAnsi"/>
          <w:sz w:val="22"/>
          <w:szCs w:val="22"/>
        </w:rPr>
        <w:t>s</w:t>
      </w:r>
      <w:r w:rsidR="00AA35FC" w:rsidRPr="00B6403D">
        <w:rPr>
          <w:rFonts w:asciiTheme="minorHAnsi" w:hAnsiTheme="minorHAnsi" w:cstheme="minorHAnsi"/>
          <w:sz w:val="22"/>
          <w:szCs w:val="22"/>
        </w:rPr>
        <w:t xml:space="preserve"> fines.</w:t>
      </w:r>
    </w:p>
    <w:p w14:paraId="20837194" w14:textId="6217615E" w:rsidR="006C11B3" w:rsidRPr="00B6403D" w:rsidRDefault="00BE3CC2" w:rsidP="00B6403D">
      <w:pPr>
        <w:pStyle w:val="P68B1DB1-Normal6"/>
        <w:jc w:val="both"/>
        <w:rPr>
          <w:rFonts w:asciiTheme="minorHAnsi" w:hAnsiTheme="minorHAnsi" w:cstheme="minorHAnsi"/>
          <w:sz w:val="22"/>
          <w:szCs w:val="22"/>
        </w:rPr>
      </w:pPr>
      <w:r w:rsidRPr="00B6403D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1787CDA" w14:textId="7D9F9C75" w:rsidR="006C11B3" w:rsidRPr="00B6403D" w:rsidRDefault="00000000" w:rsidP="00B6403D">
      <w:pPr>
        <w:pStyle w:val="P68B1DB1-Normal9"/>
        <w:jc w:val="both"/>
        <w:rPr>
          <w:rFonts w:asciiTheme="minorHAnsi" w:hAnsiTheme="minorHAnsi" w:cstheme="minorHAnsi"/>
          <w:sz w:val="22"/>
          <w:szCs w:val="22"/>
        </w:rPr>
      </w:pPr>
      <w:r w:rsidRPr="00B6403D">
        <w:rPr>
          <w:rFonts w:asciiTheme="minorHAnsi" w:hAnsiTheme="minorHAnsi" w:cstheme="minorHAnsi"/>
          <w:sz w:val="22"/>
          <w:szCs w:val="22"/>
        </w:rPr>
        <w:t>E</w:t>
      </w:r>
      <w:r w:rsidR="00AA35FC" w:rsidRPr="00B6403D">
        <w:rPr>
          <w:rFonts w:asciiTheme="minorHAnsi" w:hAnsiTheme="minorHAnsi" w:cstheme="minorHAnsi"/>
          <w:sz w:val="22"/>
          <w:szCs w:val="22"/>
        </w:rPr>
        <w:t>l</w:t>
      </w:r>
      <w:r w:rsidRPr="00B6403D">
        <w:rPr>
          <w:rFonts w:asciiTheme="minorHAnsi" w:hAnsiTheme="minorHAnsi" w:cstheme="minorHAnsi"/>
          <w:sz w:val="22"/>
          <w:szCs w:val="22"/>
        </w:rPr>
        <w:t xml:space="preserve"> proceso</w:t>
      </w:r>
      <w:r w:rsidR="00BE3CC2" w:rsidRPr="00B6403D">
        <w:rPr>
          <w:rFonts w:asciiTheme="minorHAnsi" w:hAnsiTheme="minorHAnsi" w:cstheme="minorHAnsi"/>
          <w:sz w:val="22"/>
          <w:szCs w:val="22"/>
        </w:rPr>
        <w:t xml:space="preserve"> del</w:t>
      </w:r>
      <w:r w:rsidRPr="00B6403D">
        <w:rPr>
          <w:rFonts w:asciiTheme="minorHAnsi" w:hAnsiTheme="minorHAnsi" w:cstheme="minorHAnsi"/>
          <w:sz w:val="22"/>
          <w:szCs w:val="22"/>
        </w:rPr>
        <w:t xml:space="preserve"> RFP incluirá la contribución de IBM en </w:t>
      </w:r>
      <w:r w:rsidR="00BE3CC2" w:rsidRPr="00B6403D">
        <w:rPr>
          <w:rFonts w:asciiTheme="minorHAnsi" w:hAnsiTheme="minorHAnsi" w:cstheme="minorHAnsi"/>
          <w:sz w:val="22"/>
          <w:szCs w:val="22"/>
        </w:rPr>
        <w:t xml:space="preserve">diferentes </w:t>
      </w:r>
      <w:r w:rsidRPr="00B6403D">
        <w:rPr>
          <w:rFonts w:asciiTheme="minorHAnsi" w:hAnsiTheme="minorHAnsi" w:cstheme="minorHAnsi"/>
          <w:sz w:val="22"/>
          <w:szCs w:val="22"/>
        </w:rPr>
        <w:t xml:space="preserve">disciplinas y de </w:t>
      </w:r>
      <w:r w:rsidR="00BE3CC2" w:rsidRPr="00B6403D">
        <w:rPr>
          <w:rFonts w:asciiTheme="minorHAnsi" w:hAnsiTheme="minorHAnsi" w:cstheme="minorHAnsi"/>
          <w:sz w:val="22"/>
          <w:szCs w:val="22"/>
        </w:rPr>
        <w:t xml:space="preserve">los </w:t>
      </w:r>
      <w:r w:rsidRPr="00B6403D">
        <w:rPr>
          <w:rFonts w:asciiTheme="minorHAnsi" w:hAnsiTheme="minorHAnsi" w:cstheme="minorHAnsi"/>
          <w:sz w:val="22"/>
          <w:szCs w:val="22"/>
        </w:rPr>
        <w:t>representantes de organizaciones como</w:t>
      </w:r>
      <w:r w:rsidR="00AA35FC" w:rsidRPr="00B6403D">
        <w:rPr>
          <w:rFonts w:asciiTheme="minorHAnsi" w:hAnsiTheme="minorHAnsi" w:cstheme="minorHAnsi"/>
          <w:sz w:val="22"/>
          <w:szCs w:val="22"/>
        </w:rPr>
        <w:t xml:space="preserve"> Water.org y el Programa de las Naciones Unidas para el Desarrollo. </w:t>
      </w:r>
      <w:r w:rsidRPr="00B6403D">
        <w:rPr>
          <w:rFonts w:asciiTheme="minorHAnsi" w:hAnsiTheme="minorHAnsi" w:cstheme="minorHAnsi"/>
          <w:sz w:val="22"/>
          <w:szCs w:val="22"/>
        </w:rPr>
        <w:t xml:space="preserve">Los criterios de selección </w:t>
      </w:r>
      <w:r w:rsidR="00031DAF" w:rsidRPr="00B6403D">
        <w:rPr>
          <w:rFonts w:asciiTheme="minorHAnsi" w:hAnsiTheme="minorHAnsi" w:cstheme="minorHAnsi"/>
          <w:sz w:val="22"/>
          <w:szCs w:val="22"/>
        </w:rPr>
        <w:t>considerarán</w:t>
      </w:r>
      <w:r w:rsidRPr="00B6403D">
        <w:rPr>
          <w:rFonts w:asciiTheme="minorHAnsi" w:hAnsiTheme="minorHAnsi" w:cstheme="minorHAnsi"/>
          <w:sz w:val="22"/>
          <w:szCs w:val="22"/>
        </w:rPr>
        <w:t xml:space="preserve"> la capacidad y </w:t>
      </w:r>
      <w:r w:rsidR="00AA35FC" w:rsidRPr="00B6403D">
        <w:rPr>
          <w:rFonts w:asciiTheme="minorHAnsi" w:hAnsiTheme="minorHAnsi" w:cstheme="minorHAnsi"/>
          <w:sz w:val="22"/>
          <w:szCs w:val="22"/>
        </w:rPr>
        <w:t xml:space="preserve">disposición </w:t>
      </w:r>
      <w:r w:rsidRPr="00B6403D">
        <w:rPr>
          <w:rFonts w:asciiTheme="minorHAnsi" w:hAnsiTheme="minorHAnsi" w:cstheme="minorHAnsi"/>
          <w:sz w:val="22"/>
          <w:szCs w:val="22"/>
        </w:rPr>
        <w:t xml:space="preserve">del </w:t>
      </w:r>
      <w:r w:rsidR="00BE3CC2" w:rsidRPr="00B6403D">
        <w:rPr>
          <w:rFonts w:asciiTheme="minorHAnsi" w:hAnsiTheme="minorHAnsi" w:cstheme="minorHAnsi"/>
          <w:sz w:val="22"/>
          <w:szCs w:val="22"/>
        </w:rPr>
        <w:t>aspirante</w:t>
      </w:r>
      <w:r w:rsidRPr="00B6403D">
        <w:rPr>
          <w:rFonts w:asciiTheme="minorHAnsi" w:hAnsiTheme="minorHAnsi" w:cstheme="minorHAnsi"/>
          <w:sz w:val="22"/>
          <w:szCs w:val="22"/>
        </w:rPr>
        <w:t xml:space="preserve"> para apoyar a las comunidades que son especialmente vulnerables a </w:t>
      </w:r>
      <w:r w:rsidR="00AA35FC" w:rsidRPr="00B6403D">
        <w:rPr>
          <w:rFonts w:asciiTheme="minorHAnsi" w:hAnsiTheme="minorHAnsi" w:cstheme="minorHAnsi"/>
          <w:sz w:val="22"/>
          <w:szCs w:val="22"/>
        </w:rPr>
        <w:t>l</w:t>
      </w:r>
      <w:r w:rsidR="00031DAF" w:rsidRPr="00B6403D">
        <w:rPr>
          <w:rFonts w:asciiTheme="minorHAnsi" w:hAnsiTheme="minorHAnsi" w:cstheme="minorHAnsi"/>
          <w:sz w:val="22"/>
          <w:szCs w:val="22"/>
        </w:rPr>
        <w:t>as</w:t>
      </w:r>
      <w:r w:rsidR="00AA35FC" w:rsidRPr="00B6403D">
        <w:rPr>
          <w:rFonts w:asciiTheme="minorHAnsi" w:hAnsiTheme="minorHAnsi" w:cstheme="minorHAnsi"/>
          <w:sz w:val="22"/>
          <w:szCs w:val="22"/>
        </w:rPr>
        <w:t xml:space="preserve"> </w:t>
      </w:r>
      <w:r w:rsidRPr="00B6403D">
        <w:rPr>
          <w:rFonts w:asciiTheme="minorHAnsi" w:hAnsiTheme="minorHAnsi" w:cstheme="minorHAnsi"/>
          <w:sz w:val="22"/>
          <w:szCs w:val="22"/>
        </w:rPr>
        <w:t>amenazas relacionadas con el agua, la viabilidad técnica</w:t>
      </w:r>
      <w:r w:rsidR="00BE3CC2" w:rsidRPr="00B6403D">
        <w:rPr>
          <w:rFonts w:asciiTheme="minorHAnsi" w:hAnsiTheme="minorHAnsi" w:cstheme="minorHAnsi"/>
          <w:sz w:val="22"/>
          <w:szCs w:val="22"/>
        </w:rPr>
        <w:t>,</w:t>
      </w:r>
      <w:r w:rsidRPr="00B6403D">
        <w:rPr>
          <w:rFonts w:asciiTheme="minorHAnsi" w:hAnsiTheme="minorHAnsi" w:cstheme="minorHAnsi"/>
          <w:sz w:val="22"/>
          <w:szCs w:val="22"/>
        </w:rPr>
        <w:t xml:space="preserve"> la sostenibilidad de la solución prevista</w:t>
      </w:r>
      <w:r w:rsidR="00AA35FC" w:rsidRPr="00B6403D">
        <w:rPr>
          <w:rFonts w:asciiTheme="minorHAnsi" w:hAnsiTheme="minorHAnsi" w:cstheme="minorHAnsi"/>
          <w:sz w:val="22"/>
          <w:szCs w:val="22"/>
        </w:rPr>
        <w:t>,</w:t>
      </w:r>
      <w:r w:rsidRPr="00B6403D">
        <w:rPr>
          <w:rFonts w:asciiTheme="minorHAnsi" w:hAnsiTheme="minorHAnsi" w:cstheme="minorHAnsi"/>
          <w:sz w:val="22"/>
          <w:szCs w:val="22"/>
        </w:rPr>
        <w:t xml:space="preserve"> y la transparencia en la medición y </w:t>
      </w:r>
      <w:r w:rsidR="00AA35FC" w:rsidRPr="00B6403D">
        <w:rPr>
          <w:rFonts w:asciiTheme="minorHAnsi" w:hAnsiTheme="minorHAnsi" w:cstheme="minorHAnsi"/>
          <w:sz w:val="22"/>
          <w:szCs w:val="22"/>
        </w:rPr>
        <w:t>presentación de</w:t>
      </w:r>
      <w:r w:rsidRPr="00B6403D">
        <w:rPr>
          <w:rFonts w:asciiTheme="minorHAnsi" w:hAnsiTheme="minorHAnsi" w:cstheme="minorHAnsi"/>
          <w:sz w:val="22"/>
          <w:szCs w:val="22"/>
        </w:rPr>
        <w:t xml:space="preserve"> informes, entre </w:t>
      </w:r>
      <w:r w:rsidR="00AA35FC" w:rsidRPr="00B6403D">
        <w:rPr>
          <w:rFonts w:asciiTheme="minorHAnsi" w:hAnsiTheme="minorHAnsi" w:cstheme="minorHAnsi"/>
          <w:sz w:val="22"/>
          <w:szCs w:val="22"/>
        </w:rPr>
        <w:t xml:space="preserve">otros. </w:t>
      </w:r>
    </w:p>
    <w:p w14:paraId="48034665" w14:textId="77777777" w:rsidR="006C11B3" w:rsidRPr="00B6403D" w:rsidRDefault="006C11B3" w:rsidP="00B6403D">
      <w:pPr>
        <w:jc w:val="both"/>
        <w:rPr>
          <w:rFonts w:eastAsia="IBM Plex Sans" w:cstheme="minorHAnsi"/>
          <w:sz w:val="22"/>
          <w:szCs w:val="22"/>
        </w:rPr>
      </w:pPr>
    </w:p>
    <w:p w14:paraId="430BF96E" w14:textId="1625AD5E" w:rsidR="0074615C" w:rsidRPr="00B6403D" w:rsidRDefault="0074615C" w:rsidP="00B6403D">
      <w:pPr>
        <w:pStyle w:val="P68B1DB1-NoSpacing10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B6403D">
        <w:rPr>
          <w:rFonts w:asciiTheme="minorHAnsi" w:hAnsiTheme="minorHAnsi" w:cstheme="minorHAnsi"/>
          <w:color w:val="auto"/>
          <w:sz w:val="22"/>
          <w:szCs w:val="22"/>
        </w:rPr>
        <w:t xml:space="preserve">“La tecnología y el talento son claves para mejorar la gestión del agua y beneficiar a las comunidades más vulnerables”, dijo Flávia Freitas, </w:t>
      </w:r>
      <w:proofErr w:type="gramStart"/>
      <w:r w:rsidRPr="00B6403D">
        <w:rPr>
          <w:rFonts w:asciiTheme="minorHAnsi" w:hAnsiTheme="minorHAnsi" w:cstheme="minorHAnsi"/>
          <w:color w:val="auto"/>
          <w:sz w:val="22"/>
          <w:szCs w:val="22"/>
        </w:rPr>
        <w:t>Directora</w:t>
      </w:r>
      <w:proofErr w:type="gramEnd"/>
      <w:r w:rsidRPr="00B6403D">
        <w:rPr>
          <w:rFonts w:asciiTheme="minorHAnsi" w:hAnsiTheme="minorHAnsi" w:cstheme="minorHAnsi"/>
          <w:color w:val="auto"/>
          <w:sz w:val="22"/>
          <w:szCs w:val="22"/>
        </w:rPr>
        <w:t xml:space="preserve"> de Responsabilidad Social Corporativa de IBM para América Latina. “A través de esta cohorte, queremos continuar trabajando con las organizaciones en sus iniciativas tecnológicas para ayudar a las comunidades a superar sus desafíos relacionados con el agua”.</w:t>
      </w:r>
    </w:p>
    <w:p w14:paraId="334D7DDD" w14:textId="40379523" w:rsidR="006C11B3" w:rsidRPr="00B6403D" w:rsidRDefault="006C11B3" w:rsidP="00B6403D">
      <w:pPr>
        <w:pStyle w:val="Sinespaciado"/>
        <w:jc w:val="both"/>
        <w:rPr>
          <w:rFonts w:asciiTheme="minorHAnsi" w:hAnsiTheme="minorHAnsi" w:cstheme="minorHAnsi"/>
          <w:sz w:val="22"/>
          <w:szCs w:val="22"/>
        </w:rPr>
      </w:pPr>
    </w:p>
    <w:p w14:paraId="2F6138F5" w14:textId="2D10BE28" w:rsidR="006C11B3" w:rsidRPr="00B6403D" w:rsidRDefault="007C5D7D" w:rsidP="00B6403D">
      <w:pPr>
        <w:pStyle w:val="P68B1DB1-NoSpacing11"/>
        <w:jc w:val="both"/>
        <w:rPr>
          <w:rFonts w:asciiTheme="minorHAnsi" w:hAnsiTheme="minorHAnsi" w:cstheme="minorHAnsi"/>
          <w:sz w:val="22"/>
          <w:szCs w:val="22"/>
          <w:highlight w:val="none"/>
        </w:rPr>
      </w:pPr>
      <w:r w:rsidRPr="00B6403D">
        <w:rPr>
          <w:rFonts w:asciiTheme="minorHAnsi" w:hAnsiTheme="minorHAnsi" w:cstheme="minorHAnsi"/>
          <w:sz w:val="22"/>
          <w:szCs w:val="22"/>
          <w:highlight w:val="none"/>
        </w:rPr>
        <w:t xml:space="preserve">El proceso de RFP de este año también incluirá la contribución de Ben Mandell, Experto en Servicios Públicos en Water.org y Mary M. Matthews, </w:t>
      </w:r>
      <w:proofErr w:type="gramStart"/>
      <w:r w:rsidRPr="00B6403D">
        <w:rPr>
          <w:rFonts w:asciiTheme="minorHAnsi" w:hAnsiTheme="minorHAnsi" w:cstheme="minorHAnsi"/>
          <w:sz w:val="22"/>
          <w:szCs w:val="22"/>
          <w:highlight w:val="none"/>
        </w:rPr>
        <w:t>Jefa</w:t>
      </w:r>
      <w:proofErr w:type="gramEnd"/>
      <w:r w:rsidRPr="00B6403D">
        <w:rPr>
          <w:rFonts w:asciiTheme="minorHAnsi" w:hAnsiTheme="minorHAnsi" w:cstheme="minorHAnsi"/>
          <w:sz w:val="22"/>
          <w:szCs w:val="22"/>
          <w:highlight w:val="none"/>
        </w:rPr>
        <w:t xml:space="preserve"> del Ocean Innovation Challenge del PNUD y Jefa interina del Programa de Gobernanza del Agua y los Océanos, junto con otros expertos a</w:t>
      </w:r>
      <w:r w:rsidR="00136147" w:rsidRPr="00B6403D">
        <w:rPr>
          <w:rFonts w:asciiTheme="minorHAnsi" w:hAnsiTheme="minorHAnsi" w:cstheme="minorHAnsi"/>
          <w:sz w:val="22"/>
          <w:szCs w:val="22"/>
          <w:highlight w:val="none"/>
        </w:rPr>
        <w:t>liados</w:t>
      </w:r>
      <w:r w:rsidRPr="00B6403D">
        <w:rPr>
          <w:rFonts w:asciiTheme="minorHAnsi" w:hAnsiTheme="minorHAnsi" w:cstheme="minorHAnsi"/>
          <w:sz w:val="22"/>
          <w:szCs w:val="22"/>
          <w:highlight w:val="none"/>
        </w:rPr>
        <w:t>. Ellos compartirán sus aportes y experiencia a lo largo del ciclo de selección.</w:t>
      </w:r>
    </w:p>
    <w:p w14:paraId="69015919" w14:textId="77777777" w:rsidR="006C11B3" w:rsidRPr="00B6403D" w:rsidRDefault="006C11B3" w:rsidP="00B6403D">
      <w:pPr>
        <w:pStyle w:val="Sinespaciado"/>
        <w:jc w:val="both"/>
        <w:rPr>
          <w:rFonts w:asciiTheme="minorHAnsi" w:hAnsiTheme="minorHAnsi" w:cstheme="minorHAnsi"/>
          <w:sz w:val="22"/>
          <w:szCs w:val="22"/>
        </w:rPr>
      </w:pPr>
    </w:p>
    <w:p w14:paraId="708D6C38" w14:textId="7A1505FD" w:rsidR="006C11B3" w:rsidRPr="00B6403D" w:rsidRDefault="00000000" w:rsidP="00B6403D">
      <w:pPr>
        <w:pStyle w:val="Sinespaciado"/>
        <w:jc w:val="both"/>
        <w:rPr>
          <w:rFonts w:asciiTheme="minorHAnsi" w:hAnsiTheme="minorHAnsi" w:cstheme="minorHAnsi"/>
          <w:sz w:val="22"/>
          <w:szCs w:val="22"/>
        </w:rPr>
      </w:pPr>
      <w:r w:rsidRPr="00B6403D">
        <w:rPr>
          <w:rFonts w:asciiTheme="minorHAnsi" w:hAnsiTheme="minorHAnsi" w:cstheme="minorHAnsi"/>
          <w:sz w:val="22"/>
          <w:szCs w:val="22"/>
        </w:rPr>
        <w:t xml:space="preserve">"La innovación en el ámbito de la gestión del agua es clave para cumplir con el ODS 6 de la ONU", expresó </w:t>
      </w:r>
      <w:r w:rsidR="007C5D7D" w:rsidRPr="00B6403D">
        <w:rPr>
          <w:rFonts w:asciiTheme="minorHAnsi" w:hAnsiTheme="minorHAnsi" w:cstheme="minorHAnsi"/>
          <w:sz w:val="22"/>
          <w:szCs w:val="22"/>
        </w:rPr>
        <w:t xml:space="preserve">Mandell, </w:t>
      </w:r>
      <w:r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>un</w:t>
      </w:r>
      <w:r w:rsidR="007C5D7D"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>o</w:t>
      </w:r>
      <w:r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 xml:space="preserve"> de l</w:t>
      </w:r>
      <w:r w:rsidR="006954A7"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>o</w:t>
      </w:r>
      <w:r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>s jue</w:t>
      </w:r>
      <w:r w:rsidR="007C5D7D"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>ces</w:t>
      </w:r>
      <w:r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 xml:space="preserve"> para la selección d</w:t>
      </w:r>
      <w:r w:rsidR="007C5D7D"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>e la cohorte</w:t>
      </w:r>
      <w:r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 xml:space="preserve"> </w:t>
      </w:r>
      <w:r w:rsidR="007C5D7D"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>d</w:t>
      </w:r>
      <w:r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>el agua</w:t>
      </w:r>
      <w:r w:rsidR="007C5D7D"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  <w:u w:val="none"/>
        </w:rPr>
        <w:t>.</w:t>
      </w:r>
      <w:r w:rsidR="007C5D7D" w:rsidRPr="00B6403D">
        <w:rPr>
          <w:rStyle w:val="Hipervnculo"/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B6403D">
        <w:rPr>
          <w:rFonts w:asciiTheme="minorHAnsi" w:hAnsiTheme="minorHAnsi" w:cstheme="minorHAnsi"/>
          <w:sz w:val="22"/>
          <w:szCs w:val="22"/>
        </w:rPr>
        <w:t>"Las iniciativas de las organizaciones que se seleccionen para participar en el IBM Sustainability Accelerator tendrán una oportunidad importante para tener un impacto con la ayuda de la tecnología, experiencia y red de IBM en su gran ecosistema de socios".</w:t>
      </w:r>
    </w:p>
    <w:p w14:paraId="6E9CD69D" w14:textId="3D844C2F" w:rsidR="006C11B3" w:rsidRPr="00B6403D" w:rsidRDefault="006C11B3" w:rsidP="00B6403D">
      <w:pPr>
        <w:jc w:val="both"/>
        <w:rPr>
          <w:rFonts w:cstheme="minorHAnsi"/>
          <w:sz w:val="22"/>
          <w:szCs w:val="22"/>
        </w:rPr>
      </w:pPr>
    </w:p>
    <w:p w14:paraId="521933A5" w14:textId="1720E936" w:rsidR="006C11B3" w:rsidRPr="00B6403D" w:rsidRDefault="00000000" w:rsidP="00B6403D">
      <w:pPr>
        <w:jc w:val="both"/>
        <w:rPr>
          <w:rFonts w:eastAsia="IBM Plex Sans" w:cstheme="minorHAnsi"/>
          <w:sz w:val="22"/>
          <w:szCs w:val="22"/>
        </w:rPr>
      </w:pPr>
      <w:r w:rsidRPr="00B6403D">
        <w:rPr>
          <w:rFonts w:cstheme="minorHAnsi"/>
          <w:sz w:val="22"/>
          <w:szCs w:val="22"/>
        </w:rPr>
        <w:lastRenderedPageBreak/>
        <w:t xml:space="preserve">Las iniciativas gubernamentales y sin fines de lucro centradas en la gestión del agua pueden </w:t>
      </w:r>
      <w:hyperlink r:id="rId10" w:history="1">
        <w:r w:rsidRPr="00B6403D">
          <w:rPr>
            <w:rStyle w:val="Hipervnculo"/>
            <w:rFonts w:cstheme="minorHAnsi"/>
            <w:sz w:val="22"/>
            <w:szCs w:val="22"/>
          </w:rPr>
          <w:t>presentarse a la RFP</w:t>
        </w:r>
      </w:hyperlink>
      <w:r w:rsidRPr="00B6403D">
        <w:rPr>
          <w:rFonts w:cstheme="minorHAnsi"/>
          <w:sz w:val="22"/>
          <w:szCs w:val="22"/>
        </w:rPr>
        <w:t xml:space="preserve"> a partir del 14 de marzo hasta finales de mayo de 2023. </w:t>
      </w:r>
      <w:r w:rsidRPr="00B6403D">
        <w:rPr>
          <w:rFonts w:eastAsia="IBM Plex Sans" w:cstheme="minorHAnsi"/>
          <w:sz w:val="22"/>
          <w:szCs w:val="22"/>
        </w:rPr>
        <w:t>Los participantes seleccionados se anunciarán en noviembre de 2023.</w:t>
      </w:r>
    </w:p>
    <w:p w14:paraId="7181F9A6" w14:textId="77777777" w:rsidR="00D61C11" w:rsidRPr="00B6403D" w:rsidRDefault="00D61C11" w:rsidP="00B6403D">
      <w:pPr>
        <w:jc w:val="both"/>
        <w:rPr>
          <w:rFonts w:eastAsia="IBM Plex Sans" w:cstheme="minorHAnsi"/>
          <w:sz w:val="22"/>
          <w:szCs w:val="22"/>
        </w:rPr>
      </w:pPr>
    </w:p>
    <w:p w14:paraId="6037EA52" w14:textId="5C19FA4B" w:rsidR="00026B59" w:rsidRPr="00B6403D" w:rsidRDefault="00026B59" w:rsidP="00B6403D">
      <w:pPr>
        <w:jc w:val="both"/>
        <w:rPr>
          <w:rFonts w:eastAsia="IBM Plex Sans" w:cstheme="minorHAnsi"/>
          <w:sz w:val="20"/>
          <w:szCs w:val="20"/>
        </w:rPr>
      </w:pPr>
    </w:p>
    <w:p w14:paraId="19C6CD16" w14:textId="22535CB4" w:rsidR="00026B59" w:rsidRPr="00B6403D" w:rsidRDefault="00026B59" w:rsidP="00B6403D">
      <w:pPr>
        <w:jc w:val="both"/>
        <w:rPr>
          <w:rFonts w:cstheme="minorHAnsi"/>
          <w:b/>
          <w:bCs/>
          <w:sz w:val="20"/>
          <w:szCs w:val="20"/>
        </w:rPr>
      </w:pPr>
      <w:r w:rsidRPr="00B6403D">
        <w:rPr>
          <w:rFonts w:cstheme="minorHAnsi"/>
          <w:b/>
          <w:bCs/>
          <w:sz w:val="20"/>
          <w:szCs w:val="20"/>
        </w:rPr>
        <w:t>Sobre el IBM Sustainability Accelerator</w:t>
      </w:r>
    </w:p>
    <w:p w14:paraId="5FFDC340" w14:textId="644650CF" w:rsidR="00026B59" w:rsidRPr="00B6403D" w:rsidRDefault="00000000" w:rsidP="00B6403D">
      <w:pPr>
        <w:jc w:val="both"/>
        <w:rPr>
          <w:rFonts w:cstheme="minorHAnsi"/>
          <w:sz w:val="20"/>
          <w:szCs w:val="20"/>
        </w:rPr>
      </w:pPr>
      <w:hyperlink r:id="rId11" w:history="1">
        <w:r w:rsidR="00026B59" w:rsidRPr="00B6403D">
          <w:rPr>
            <w:rStyle w:val="Hipervnculo"/>
            <w:rFonts w:cstheme="minorHAnsi"/>
            <w:sz w:val="20"/>
            <w:szCs w:val="20"/>
          </w:rPr>
          <w:t>Lanzado en febrero de 2022</w:t>
        </w:r>
      </w:hyperlink>
      <w:r w:rsidR="00026B59" w:rsidRPr="00B6403D">
        <w:rPr>
          <w:rFonts w:cstheme="minorHAnsi"/>
          <w:sz w:val="20"/>
          <w:szCs w:val="20"/>
        </w:rPr>
        <w:t>, el IBM Sustainability Accelerator es un programa de impacto social que aborda múltiples amenazas ambientales en todo el mundo cada año. Selecciona 5 proyectos para escalar soluciones que beneficien a las comunidades que enfrentan desafíos como el cambio climático, la contaminación, el clima extremo y más. El programa cuenta actualmente con dos cohortes activas; la primera se centra en la agricultura sostenible y la segunda en energía limpia.</w:t>
      </w:r>
    </w:p>
    <w:p w14:paraId="116F2D8E" w14:textId="77777777" w:rsidR="00026B59" w:rsidRPr="00B6403D" w:rsidRDefault="00026B59" w:rsidP="00B6403D">
      <w:pPr>
        <w:jc w:val="both"/>
        <w:rPr>
          <w:rFonts w:cstheme="minorHAnsi"/>
          <w:sz w:val="20"/>
          <w:szCs w:val="20"/>
        </w:rPr>
      </w:pPr>
    </w:p>
    <w:p w14:paraId="25385D98" w14:textId="521E7D61" w:rsidR="00026B59" w:rsidRPr="00B6403D" w:rsidRDefault="00026B59" w:rsidP="00B6403D">
      <w:pPr>
        <w:jc w:val="both"/>
        <w:rPr>
          <w:rFonts w:cstheme="minorHAnsi"/>
          <w:sz w:val="20"/>
          <w:szCs w:val="20"/>
        </w:rPr>
      </w:pPr>
      <w:r w:rsidRPr="00B6403D">
        <w:rPr>
          <w:rFonts w:cstheme="minorHAnsi"/>
          <w:sz w:val="20"/>
          <w:szCs w:val="20"/>
        </w:rPr>
        <w:t xml:space="preserve">En Latinoamérica, como parte del IBM Sustainability Accelerator, la Fundación Plan 21 para el Desarrollo Humano Sostenible </w:t>
      </w:r>
      <w:hyperlink r:id="rId12" w:history="1">
        <w:r w:rsidRPr="00B6403D">
          <w:rPr>
            <w:rStyle w:val="Hipervnculo"/>
            <w:rFonts w:cstheme="minorHAnsi"/>
            <w:sz w:val="20"/>
            <w:szCs w:val="20"/>
          </w:rPr>
          <w:t>está ayudando</w:t>
        </w:r>
      </w:hyperlink>
      <w:r w:rsidRPr="00B6403D">
        <w:rPr>
          <w:rFonts w:cstheme="minorHAnsi"/>
          <w:sz w:val="20"/>
          <w:szCs w:val="20"/>
        </w:rPr>
        <w:t xml:space="preserve"> a los pequeños agricultores de la región a gestionar sus cultivos de forma más sostenible, con el objetivo de aumentar su productividad y sus ingresos, ayudar a crear conciencia en el consumidor y desarrollar mercados más responsables</w:t>
      </w:r>
    </w:p>
    <w:p w14:paraId="43563437" w14:textId="77777777" w:rsidR="00026B59" w:rsidRPr="00B6403D" w:rsidRDefault="00026B59" w:rsidP="00B6403D">
      <w:pPr>
        <w:jc w:val="both"/>
        <w:rPr>
          <w:rFonts w:cstheme="minorHAnsi"/>
          <w:sz w:val="20"/>
          <w:szCs w:val="20"/>
        </w:rPr>
      </w:pPr>
    </w:p>
    <w:p w14:paraId="6BA3F3DF" w14:textId="78F56483" w:rsidR="00026B59" w:rsidRPr="00B6403D" w:rsidRDefault="00026B59" w:rsidP="00B6403D">
      <w:pPr>
        <w:jc w:val="both"/>
        <w:rPr>
          <w:rFonts w:ascii="IBM Plex Sans Medium" w:hAnsi="IBM Plex Sans Medium"/>
          <w:sz w:val="18"/>
          <w:szCs w:val="18"/>
        </w:rPr>
      </w:pPr>
      <w:r w:rsidRPr="00B6403D">
        <w:rPr>
          <w:rFonts w:cstheme="minorHAnsi"/>
          <w:sz w:val="20"/>
          <w:szCs w:val="20"/>
        </w:rPr>
        <w:t xml:space="preserve">Para más información, visite </w:t>
      </w:r>
      <w:hyperlink r:id="rId13" w:history="1">
        <w:r w:rsidR="00D61C11" w:rsidRPr="00B6403D">
          <w:rPr>
            <w:rStyle w:val="Hipervnculo"/>
            <w:rFonts w:cstheme="minorHAnsi"/>
            <w:sz w:val="20"/>
            <w:szCs w:val="20"/>
          </w:rPr>
          <w:t>https://www.ibm.com/impact/initiatives/ibm-sustainability-accelerator</w:t>
        </w:r>
      </w:hyperlink>
      <w:r w:rsidR="00D61C11" w:rsidRPr="00B6403D">
        <w:rPr>
          <w:rFonts w:ascii="IBM Plex Sans Medium" w:hAnsi="IBM Plex Sans Medium"/>
          <w:sz w:val="18"/>
          <w:szCs w:val="18"/>
        </w:rPr>
        <w:t xml:space="preserve"> </w:t>
      </w:r>
    </w:p>
    <w:sectPr w:rsidR="00026B59" w:rsidRPr="00B6403D">
      <w:pgSz w:w="12240" w:h="15840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D39086" w14:textId="77777777" w:rsidR="007025A8" w:rsidRDefault="007025A8">
      <w:r>
        <w:separator/>
      </w:r>
    </w:p>
  </w:endnote>
  <w:endnote w:type="continuationSeparator" w:id="0">
    <w:p w14:paraId="04E88537" w14:textId="77777777" w:rsidR="007025A8" w:rsidRDefault="00702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IBM Plex Sans">
    <w:charset w:val="00"/>
    <w:family w:val="swiss"/>
    <w:pitch w:val="variable"/>
    <w:sig w:usb0="A00002EF" w:usb1="5000207B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IBM Plex Sans Medium">
    <w:charset w:val="00"/>
    <w:family w:val="swiss"/>
    <w:pitch w:val="variable"/>
    <w:sig w:usb0="A00002EF" w:usb1="5000207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9192C" w14:textId="77777777" w:rsidR="007025A8" w:rsidRDefault="007025A8">
      <w:r>
        <w:separator/>
      </w:r>
    </w:p>
  </w:footnote>
  <w:footnote w:type="continuationSeparator" w:id="0">
    <w:p w14:paraId="4D5DB8D2" w14:textId="77777777" w:rsidR="007025A8" w:rsidRDefault="007025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B6C9D"/>
    <w:multiLevelType w:val="hybridMultilevel"/>
    <w:tmpl w:val="B180233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A7607F"/>
    <w:multiLevelType w:val="hybridMultilevel"/>
    <w:tmpl w:val="711EF14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0B0C3FE">
      <w:start w:val="1"/>
      <w:numFmt w:val="lowerLetter"/>
      <w:lvlText w:val="%2."/>
      <w:lvlJc w:val="left"/>
      <w:pPr>
        <w:ind w:left="1440" w:hanging="360"/>
      </w:pPr>
    </w:lvl>
    <w:lvl w:ilvl="2" w:tplc="99225864">
      <w:start w:val="1"/>
      <w:numFmt w:val="lowerRoman"/>
      <w:lvlText w:val="%3."/>
      <w:lvlJc w:val="right"/>
      <w:pPr>
        <w:ind w:left="2160" w:hanging="180"/>
      </w:pPr>
    </w:lvl>
    <w:lvl w:ilvl="3" w:tplc="8450587C">
      <w:start w:val="1"/>
      <w:numFmt w:val="decimal"/>
      <w:lvlText w:val="%4."/>
      <w:lvlJc w:val="left"/>
      <w:pPr>
        <w:ind w:left="2880" w:hanging="360"/>
      </w:pPr>
    </w:lvl>
    <w:lvl w:ilvl="4" w:tplc="270C5FDE">
      <w:start w:val="1"/>
      <w:numFmt w:val="lowerLetter"/>
      <w:lvlText w:val="%5."/>
      <w:lvlJc w:val="left"/>
      <w:pPr>
        <w:ind w:left="3600" w:hanging="360"/>
      </w:pPr>
    </w:lvl>
    <w:lvl w:ilvl="5" w:tplc="619E466E">
      <w:start w:val="1"/>
      <w:numFmt w:val="lowerRoman"/>
      <w:lvlText w:val="%6."/>
      <w:lvlJc w:val="right"/>
      <w:pPr>
        <w:ind w:left="4320" w:hanging="180"/>
      </w:pPr>
    </w:lvl>
    <w:lvl w:ilvl="6" w:tplc="7EEA4852">
      <w:start w:val="1"/>
      <w:numFmt w:val="decimal"/>
      <w:lvlText w:val="%7."/>
      <w:lvlJc w:val="left"/>
      <w:pPr>
        <w:ind w:left="5040" w:hanging="360"/>
      </w:pPr>
    </w:lvl>
    <w:lvl w:ilvl="7" w:tplc="D5AA5EB2">
      <w:start w:val="1"/>
      <w:numFmt w:val="lowerLetter"/>
      <w:lvlText w:val="%8."/>
      <w:lvlJc w:val="left"/>
      <w:pPr>
        <w:ind w:left="5760" w:hanging="360"/>
      </w:pPr>
    </w:lvl>
    <w:lvl w:ilvl="8" w:tplc="391EB1A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5352D6"/>
    <w:multiLevelType w:val="hybridMultilevel"/>
    <w:tmpl w:val="692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36152E"/>
    <w:multiLevelType w:val="hybridMultilevel"/>
    <w:tmpl w:val="A39E8AE8"/>
    <w:lvl w:ilvl="0" w:tplc="687CF14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A41659"/>
    <w:multiLevelType w:val="hybridMultilevel"/>
    <w:tmpl w:val="2A682AEA"/>
    <w:lvl w:ilvl="0" w:tplc="D5ACC4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B9098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DE82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38CF6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8684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F6FF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5861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6A43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46ED8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1B813F"/>
    <w:multiLevelType w:val="hybridMultilevel"/>
    <w:tmpl w:val="276A5790"/>
    <w:lvl w:ilvl="0" w:tplc="9A5E92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97EC4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2ACB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E0E8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508F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B631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C2D7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0CCD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5A5E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AA4A10"/>
    <w:multiLevelType w:val="hybridMultilevel"/>
    <w:tmpl w:val="B72ED0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4F7156"/>
    <w:multiLevelType w:val="multilevel"/>
    <w:tmpl w:val="680CF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44097642">
    <w:abstractNumId w:val="5"/>
  </w:num>
  <w:num w:numId="2" w16cid:durableId="1107307176">
    <w:abstractNumId w:val="1"/>
  </w:num>
  <w:num w:numId="3" w16cid:durableId="804738403">
    <w:abstractNumId w:val="7"/>
  </w:num>
  <w:num w:numId="4" w16cid:durableId="827213400">
    <w:abstractNumId w:val="4"/>
  </w:num>
  <w:num w:numId="5" w16cid:durableId="573201593">
    <w:abstractNumId w:val="6"/>
  </w:num>
  <w:num w:numId="6" w16cid:durableId="373382758">
    <w:abstractNumId w:val="0"/>
  </w:num>
  <w:num w:numId="7" w16cid:durableId="371393706">
    <w:abstractNumId w:val="2"/>
  </w:num>
  <w:num w:numId="8" w16cid:durableId="9352091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AF3"/>
    <w:rsid w:val="000102A3"/>
    <w:rsid w:val="00012897"/>
    <w:rsid w:val="00017F44"/>
    <w:rsid w:val="00026B59"/>
    <w:rsid w:val="00031DAF"/>
    <w:rsid w:val="00056974"/>
    <w:rsid w:val="00086FB7"/>
    <w:rsid w:val="00095144"/>
    <w:rsid w:val="000B52D7"/>
    <w:rsid w:val="000C6E30"/>
    <w:rsid w:val="000D26D7"/>
    <w:rsid w:val="000F7C93"/>
    <w:rsid w:val="001101CE"/>
    <w:rsid w:val="00136147"/>
    <w:rsid w:val="001542AD"/>
    <w:rsid w:val="0016521A"/>
    <w:rsid w:val="0018183B"/>
    <w:rsid w:val="001863FB"/>
    <w:rsid w:val="001C1EC6"/>
    <w:rsid w:val="001D2169"/>
    <w:rsid w:val="001E1A2D"/>
    <w:rsid w:val="001F11D3"/>
    <w:rsid w:val="001F4E11"/>
    <w:rsid w:val="002257AC"/>
    <w:rsid w:val="00231E2A"/>
    <w:rsid w:val="00253989"/>
    <w:rsid w:val="00274934"/>
    <w:rsid w:val="002D52C7"/>
    <w:rsid w:val="002F1587"/>
    <w:rsid w:val="00364D45"/>
    <w:rsid w:val="00395D6C"/>
    <w:rsid w:val="003A3C26"/>
    <w:rsid w:val="003A40A3"/>
    <w:rsid w:val="003C4A6A"/>
    <w:rsid w:val="003E455F"/>
    <w:rsid w:val="003F08FD"/>
    <w:rsid w:val="003F1482"/>
    <w:rsid w:val="003F3DAF"/>
    <w:rsid w:val="004328C5"/>
    <w:rsid w:val="0043450E"/>
    <w:rsid w:val="00462FC5"/>
    <w:rsid w:val="00467F45"/>
    <w:rsid w:val="004745AD"/>
    <w:rsid w:val="0048292D"/>
    <w:rsid w:val="004A403F"/>
    <w:rsid w:val="004A5459"/>
    <w:rsid w:val="004D608B"/>
    <w:rsid w:val="004E3A4C"/>
    <w:rsid w:val="004F71FF"/>
    <w:rsid w:val="005007FA"/>
    <w:rsid w:val="00524D80"/>
    <w:rsid w:val="0054269C"/>
    <w:rsid w:val="005623F2"/>
    <w:rsid w:val="005B6325"/>
    <w:rsid w:val="005C3228"/>
    <w:rsid w:val="005D3257"/>
    <w:rsid w:val="005E4DC1"/>
    <w:rsid w:val="005E5523"/>
    <w:rsid w:val="0061454D"/>
    <w:rsid w:val="006678DE"/>
    <w:rsid w:val="006954A7"/>
    <w:rsid w:val="006C11B3"/>
    <w:rsid w:val="006D5FDA"/>
    <w:rsid w:val="007025A8"/>
    <w:rsid w:val="00706E3A"/>
    <w:rsid w:val="007446CA"/>
    <w:rsid w:val="0074615C"/>
    <w:rsid w:val="00773ECB"/>
    <w:rsid w:val="00785009"/>
    <w:rsid w:val="00795CD4"/>
    <w:rsid w:val="007B5F3D"/>
    <w:rsid w:val="007B79A8"/>
    <w:rsid w:val="007C5D7D"/>
    <w:rsid w:val="007D2508"/>
    <w:rsid w:val="007E35D9"/>
    <w:rsid w:val="007F1289"/>
    <w:rsid w:val="007F640C"/>
    <w:rsid w:val="008077F2"/>
    <w:rsid w:val="00811692"/>
    <w:rsid w:val="008334F5"/>
    <w:rsid w:val="0084141F"/>
    <w:rsid w:val="008441C4"/>
    <w:rsid w:val="008D44D0"/>
    <w:rsid w:val="008E57B4"/>
    <w:rsid w:val="008E6226"/>
    <w:rsid w:val="00907230"/>
    <w:rsid w:val="00931290"/>
    <w:rsid w:val="0093132E"/>
    <w:rsid w:val="0096569C"/>
    <w:rsid w:val="009D16CE"/>
    <w:rsid w:val="009D17D8"/>
    <w:rsid w:val="009E09E1"/>
    <w:rsid w:val="009E7AED"/>
    <w:rsid w:val="00A256CB"/>
    <w:rsid w:val="00A37253"/>
    <w:rsid w:val="00A4262F"/>
    <w:rsid w:val="00A67A2F"/>
    <w:rsid w:val="00A75EC9"/>
    <w:rsid w:val="00A92E41"/>
    <w:rsid w:val="00AA35FC"/>
    <w:rsid w:val="00AA4AF3"/>
    <w:rsid w:val="00AB008C"/>
    <w:rsid w:val="00AD7BB6"/>
    <w:rsid w:val="00AF6596"/>
    <w:rsid w:val="00B02A95"/>
    <w:rsid w:val="00B13377"/>
    <w:rsid w:val="00B206BC"/>
    <w:rsid w:val="00B32672"/>
    <w:rsid w:val="00B43818"/>
    <w:rsid w:val="00B448AC"/>
    <w:rsid w:val="00B609F6"/>
    <w:rsid w:val="00B6403D"/>
    <w:rsid w:val="00B67C0D"/>
    <w:rsid w:val="00B905AD"/>
    <w:rsid w:val="00BA28C2"/>
    <w:rsid w:val="00BB3481"/>
    <w:rsid w:val="00BC3B5D"/>
    <w:rsid w:val="00BE3CC2"/>
    <w:rsid w:val="00BE4BA9"/>
    <w:rsid w:val="00C338D9"/>
    <w:rsid w:val="00C35754"/>
    <w:rsid w:val="00C378F8"/>
    <w:rsid w:val="00C739EF"/>
    <w:rsid w:val="00C83F79"/>
    <w:rsid w:val="00C87ECE"/>
    <w:rsid w:val="00C959C4"/>
    <w:rsid w:val="00CA05F4"/>
    <w:rsid w:val="00CA08C7"/>
    <w:rsid w:val="00CC4CDE"/>
    <w:rsid w:val="00CD277C"/>
    <w:rsid w:val="00CE405F"/>
    <w:rsid w:val="00CF6BD0"/>
    <w:rsid w:val="00D16C30"/>
    <w:rsid w:val="00D40931"/>
    <w:rsid w:val="00D61C11"/>
    <w:rsid w:val="00D64152"/>
    <w:rsid w:val="00D80F9D"/>
    <w:rsid w:val="00D842DE"/>
    <w:rsid w:val="00D931ED"/>
    <w:rsid w:val="00DA0548"/>
    <w:rsid w:val="00DC0912"/>
    <w:rsid w:val="00DF7E38"/>
    <w:rsid w:val="00E15AC0"/>
    <w:rsid w:val="00E8288A"/>
    <w:rsid w:val="00F008E2"/>
    <w:rsid w:val="00F03DC6"/>
    <w:rsid w:val="00F04364"/>
    <w:rsid w:val="00F06978"/>
    <w:rsid w:val="00F13E6C"/>
    <w:rsid w:val="00F23781"/>
    <w:rsid w:val="00F33865"/>
    <w:rsid w:val="00F60A1B"/>
    <w:rsid w:val="00F622CC"/>
    <w:rsid w:val="00FC0FD6"/>
    <w:rsid w:val="00FE3992"/>
    <w:rsid w:val="0C9DC004"/>
    <w:rsid w:val="54AC675A"/>
    <w:rsid w:val="6E8CF331"/>
    <w:rsid w:val="7ABEB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A4A0013"/>
  <w15:chartTrackingRefBased/>
  <w15:docId w15:val="{2F4204BF-9B00-8F40-9775-3AC513509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PE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legendspanclass">
    <w:name w:val="legendspanclass"/>
    <w:basedOn w:val="Fuentedeprrafopredeter"/>
    <w:rsid w:val="007B79A8"/>
  </w:style>
  <w:style w:type="character" w:customStyle="1" w:styleId="xn-location">
    <w:name w:val="xn-location"/>
    <w:basedOn w:val="Fuentedeprrafopredeter"/>
    <w:rsid w:val="007B79A8"/>
  </w:style>
  <w:style w:type="character" w:customStyle="1" w:styleId="xn-person">
    <w:name w:val="xn-person"/>
    <w:basedOn w:val="Fuentedeprrafopredeter"/>
    <w:rsid w:val="007B79A8"/>
  </w:style>
  <w:style w:type="character" w:customStyle="1" w:styleId="xn-chron">
    <w:name w:val="xn-chron"/>
    <w:basedOn w:val="Fuentedeprrafopredeter"/>
    <w:rsid w:val="007B79A8"/>
  </w:style>
  <w:style w:type="character" w:styleId="Hipervnculo">
    <w:name w:val="Hyperlink"/>
    <w:basedOn w:val="Fuentedeprrafopredeter"/>
    <w:uiPriority w:val="99"/>
    <w:unhideWhenUsed/>
    <w:rsid w:val="007B79A8"/>
    <w:rPr>
      <w:color w:val="0000FF"/>
      <w:u w:val="single"/>
    </w:rPr>
  </w:style>
  <w:style w:type="character" w:customStyle="1" w:styleId="xn-money">
    <w:name w:val="xn-money"/>
    <w:basedOn w:val="Fuentedeprrafopredeter"/>
    <w:rsid w:val="007B79A8"/>
  </w:style>
  <w:style w:type="paragraph" w:styleId="Sinespaciado">
    <w:name w:val="No Spacing"/>
    <w:uiPriority w:val="1"/>
    <w:qFormat/>
    <w:rsid w:val="00811692"/>
    <w:rPr>
      <w:rFonts w:ascii="Times New Roman" w:eastAsia="Times New Roman" w:hAnsi="Times New Roman" w:cs="Times New Roman"/>
    </w:rPr>
  </w:style>
  <w:style w:type="paragraph" w:styleId="Prrafodelista">
    <w:name w:val="List Paragraph"/>
    <w:aliases w:val="Body Bullet,Use Case List Paragraph,Heading2,List Paragraph1,Bull-Over,FooterText,Bullet List,numbered,Paragraphe de liste1,Bulletr List Paragraph,Listenabsatz,リスト段落,Paragrafo elenco,列出段落,列出段落1,List Paragraph2,List Paragraph21"/>
    <w:basedOn w:val="Normal"/>
    <w:link w:val="PrrafodelistaCar"/>
    <w:uiPriority w:val="34"/>
    <w:qFormat/>
    <w:rsid w:val="00811692"/>
    <w:pPr>
      <w:ind w:left="720"/>
      <w:contextualSpacing/>
    </w:pPr>
    <w:rPr>
      <w:rFonts w:ascii="Times New Roman" w:hAnsi="Times New Roman" w:cs="Times New Roman"/>
    </w:rPr>
  </w:style>
  <w:style w:type="paragraph" w:styleId="NormalWeb">
    <w:name w:val="Normal (Web)"/>
    <w:basedOn w:val="Normal"/>
    <w:uiPriority w:val="99"/>
    <w:unhideWhenUsed/>
    <w:rsid w:val="0081169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Refdecomentario">
    <w:name w:val="annotation reference"/>
    <w:basedOn w:val="Fuentedeprrafopredeter"/>
    <w:uiPriority w:val="99"/>
    <w:semiHidden/>
    <w:unhideWhenUsed/>
    <w:rsid w:val="00811692"/>
    <w:rPr>
      <w:sz w:val="16"/>
      <w:szCs w:val="16"/>
    </w:rPr>
  </w:style>
  <w:style w:type="character" w:customStyle="1" w:styleId="PrrafodelistaCar">
    <w:name w:val="Párrafo de lista Car"/>
    <w:aliases w:val="Body Bullet Car,Use Case List Paragraph Car,Heading2 Car,List Paragraph1 Car,Bull-Over Car,FooterText Car,Bullet List Car,numbered Car,Paragraphe de liste1 Car,Bulletr List Paragraph Car,Listenabsatz Car,リスト段落 Car,列出段落 Car,列出段落1 Car"/>
    <w:link w:val="Prrafodelista"/>
    <w:uiPriority w:val="34"/>
    <w:rsid w:val="00811692"/>
    <w:rPr>
      <w:rFonts w:ascii="Times New Roman" w:hAnsi="Times New Roman" w:cs="Times New Roman"/>
    </w:rPr>
  </w:style>
  <w:style w:type="character" w:customStyle="1" w:styleId="mark2awnwy4m1">
    <w:name w:val="mark2awnwy4m1"/>
    <w:basedOn w:val="Fuentedeprrafopredeter"/>
    <w:rsid w:val="00811692"/>
  </w:style>
  <w:style w:type="character" w:customStyle="1" w:styleId="markprm2r7aio">
    <w:name w:val="markprm2r7aio"/>
    <w:basedOn w:val="Fuentedeprrafopredeter"/>
    <w:rsid w:val="00811692"/>
  </w:style>
  <w:style w:type="character" w:customStyle="1" w:styleId="shareable-quote">
    <w:name w:val="shareable-quote"/>
    <w:basedOn w:val="Fuentedeprrafopredeter"/>
    <w:rsid w:val="00811692"/>
  </w:style>
  <w:style w:type="character" w:styleId="Hipervnculovisitado">
    <w:name w:val="FollowedHyperlink"/>
    <w:basedOn w:val="Fuentedeprrafopredeter"/>
    <w:uiPriority w:val="99"/>
    <w:semiHidden/>
    <w:unhideWhenUsed/>
    <w:rsid w:val="00811692"/>
    <w:rPr>
      <w:color w:val="954F72" w:themeColor="followed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Pr>
      <w:sz w:val="20"/>
      <w:szCs w:val="20"/>
    </w:rPr>
  </w:style>
  <w:style w:type="character" w:styleId="Mencinsinresolver">
    <w:name w:val="Unresolved Mention"/>
    <w:basedOn w:val="Fuentedeprrafopredeter"/>
    <w:uiPriority w:val="99"/>
    <w:semiHidden/>
    <w:unhideWhenUsed/>
    <w:rsid w:val="00253989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D16C30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75EC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75EC9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3A40A3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A40A3"/>
  </w:style>
  <w:style w:type="paragraph" w:styleId="Piedepgina">
    <w:name w:val="footer"/>
    <w:basedOn w:val="Normal"/>
    <w:link w:val="PiedepginaCar"/>
    <w:uiPriority w:val="99"/>
    <w:unhideWhenUsed/>
    <w:rsid w:val="003A40A3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A40A3"/>
  </w:style>
  <w:style w:type="paragraph" w:customStyle="1" w:styleId="P68B1DB1-Normal1">
    <w:name w:val="P68B1DB1-Normal1"/>
    <w:basedOn w:val="Normal"/>
    <w:rPr>
      <w:rFonts w:ascii="IBM Plex Sans" w:hAnsi="IBM Plex Sans"/>
      <w:i/>
      <w:iCs/>
      <w:sz w:val="18"/>
      <w:szCs w:val="18"/>
    </w:rPr>
  </w:style>
  <w:style w:type="paragraph" w:customStyle="1" w:styleId="P68B1DB1-Normal2">
    <w:name w:val="P68B1DB1-Normal2"/>
    <w:basedOn w:val="Normal"/>
    <w:rPr>
      <w:rFonts w:ascii="IBM Plex Sans" w:hAnsi="IBM Plex Sans"/>
      <w:b/>
      <w:bCs/>
    </w:rPr>
  </w:style>
  <w:style w:type="paragraph" w:customStyle="1" w:styleId="P68B1DB1-ListParagraph3">
    <w:name w:val="P68B1DB1-ListParagraph3"/>
    <w:basedOn w:val="Prrafodelista"/>
    <w:rPr>
      <w:rFonts w:ascii="IBM Plex Sans" w:eastAsia="IBM Plex Sans" w:hAnsi="IBM Plex Sans" w:cs="IBM Plex Sans"/>
      <w:i/>
      <w:iCs/>
      <w:sz w:val="20"/>
      <w:szCs w:val="20"/>
    </w:rPr>
  </w:style>
  <w:style w:type="paragraph" w:customStyle="1" w:styleId="P68B1DB1-ListParagraph4">
    <w:name w:val="P68B1DB1-ListParagraph4"/>
    <w:basedOn w:val="Prrafodelista"/>
    <w:rPr>
      <w:rFonts w:ascii="IBM Plex Sans" w:hAnsi="IBM Plex Sans"/>
      <w:i/>
      <w:iCs/>
      <w:sz w:val="20"/>
      <w:szCs w:val="20"/>
    </w:rPr>
  </w:style>
  <w:style w:type="paragraph" w:customStyle="1" w:styleId="P68B1DB1-ListParagraph5">
    <w:name w:val="P68B1DB1-ListParagraph5"/>
    <w:basedOn w:val="Prrafodelista"/>
    <w:rPr>
      <w:rFonts w:ascii="IBM Plex Sans" w:hAnsi="IBM Plex Sans"/>
      <w:b/>
      <w:bCs/>
      <w:i/>
      <w:iCs/>
      <w:color w:val="00B050"/>
      <w:sz w:val="20"/>
      <w:szCs w:val="20"/>
    </w:rPr>
  </w:style>
  <w:style w:type="paragraph" w:customStyle="1" w:styleId="P68B1DB1-Normal6">
    <w:name w:val="P68B1DB1-Normal6"/>
    <w:basedOn w:val="Normal"/>
    <w:rPr>
      <w:rFonts w:ascii="IBM Plex Sans" w:hAnsi="IBM Plex Sans" w:cs="Open Sans"/>
      <w:sz w:val="20"/>
      <w:szCs w:val="20"/>
    </w:rPr>
  </w:style>
  <w:style w:type="paragraph" w:customStyle="1" w:styleId="P68B1DB1-Normal7">
    <w:name w:val="P68B1DB1-Normal7"/>
    <w:basedOn w:val="Normal"/>
    <w:rPr>
      <w:rFonts w:ascii="IBM Plex Sans" w:hAnsi="IBM Plex Sans"/>
      <w:color w:val="00B050"/>
      <w:sz w:val="20"/>
      <w:szCs w:val="20"/>
    </w:rPr>
  </w:style>
  <w:style w:type="paragraph" w:customStyle="1" w:styleId="P68B1DB1-NormalWeb8">
    <w:name w:val="P68B1DB1-NormalWeb8"/>
    <w:basedOn w:val="NormalWeb"/>
    <w:rPr>
      <w:sz w:val="20"/>
      <w:szCs w:val="20"/>
    </w:rPr>
  </w:style>
  <w:style w:type="paragraph" w:customStyle="1" w:styleId="P68B1DB1-Normal9">
    <w:name w:val="P68B1DB1-Normal9"/>
    <w:basedOn w:val="Normal"/>
    <w:rPr>
      <w:rFonts w:ascii="IBM Plex Sans" w:eastAsia="IBM Plex Sans" w:hAnsi="IBM Plex Sans" w:cs="IBM Plex Sans"/>
      <w:sz w:val="20"/>
      <w:szCs w:val="20"/>
    </w:rPr>
  </w:style>
  <w:style w:type="paragraph" w:customStyle="1" w:styleId="P68B1DB1-NoSpacing10">
    <w:name w:val="P68B1DB1-NoSpacing10"/>
    <w:basedOn w:val="Sinespaciado"/>
    <w:rPr>
      <w:rFonts w:ascii="IBM Plex Sans" w:hAnsi="IBM Plex Sans"/>
      <w:color w:val="00B050"/>
      <w:sz w:val="20"/>
      <w:szCs w:val="20"/>
    </w:rPr>
  </w:style>
  <w:style w:type="paragraph" w:customStyle="1" w:styleId="P68B1DB1-NoSpacing11">
    <w:name w:val="P68B1DB1-NoSpacing11"/>
    <w:basedOn w:val="Sinespaciado"/>
    <w:rPr>
      <w:rFonts w:ascii="IBM Plex Sans" w:hAnsi="IBM Plex Sans"/>
      <w:sz w:val="20"/>
      <w:szCs w:val="20"/>
      <w:highlight w:val="yello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5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ho.int/news-room/fact-sheets/detail/drinking-water" TargetMode="External"/><Relationship Id="rId13" Type="http://schemas.openxmlformats.org/officeDocument/2006/relationships/hyperlink" Target="https://www.ibm.com/impact/initiatives/ibm-sustainability-accelerato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bm.com/impact/initiatives/ibm-sustainability-accelerator" TargetMode="External"/><Relationship Id="rId12" Type="http://schemas.openxmlformats.org/officeDocument/2006/relationships/hyperlink" Target="https://mediacenter.ibm.com/media/Farmers+are+HeroesA+A+conversation+with+Plan21+President+Fabi%C3%A1n+Rom%C3%A1n/1_4fvngdz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newsroom.ibm.com/2022-02-17-IBM-launches-2-year-global-pro-bono-environmental-program-for-non-profit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ebportalapp.com/sp/home/ibm-sustainability-accelerato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logs.worldbank.org/es/latinamerica/la-crisis-climatica-en-america-latina-tambien-entrana-una-crisis-del-agua-como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858</Words>
  <Characters>4725</Characters>
  <Application>Microsoft Office Word</Application>
  <DocSecurity>0</DocSecurity>
  <Lines>39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Ngo</dc:creator>
  <cp:keywords/>
  <dc:description/>
  <cp:lastModifiedBy>Oriana Eguiluz</cp:lastModifiedBy>
  <cp:revision>15</cp:revision>
  <dcterms:created xsi:type="dcterms:W3CDTF">2023-03-13T21:00:00Z</dcterms:created>
  <dcterms:modified xsi:type="dcterms:W3CDTF">2023-03-14T17:13:00Z</dcterms:modified>
</cp:coreProperties>
</file>