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68D4" w14:textId="77777777" w:rsidR="00827AA7" w:rsidRDefault="00827AA7" w:rsidP="56655F8F">
      <w:pPr>
        <w:spacing w:after="0"/>
        <w:jc w:val="center"/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</w:pPr>
    </w:p>
    <w:p w14:paraId="1B8716ED" w14:textId="77777777" w:rsidR="00827AA7" w:rsidRDefault="00827AA7" w:rsidP="56655F8F">
      <w:pPr>
        <w:spacing w:after="0"/>
        <w:jc w:val="center"/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</w:pPr>
    </w:p>
    <w:p w14:paraId="3EDA9083" w14:textId="28873F77" w:rsidR="00A060FE" w:rsidRDefault="37CADB5A" w:rsidP="56655F8F">
      <w:pPr>
        <w:spacing w:after="0"/>
        <w:jc w:val="center"/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</w:pPr>
      <w:r w:rsidRPr="56655F8F"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  <w:t>Aprueban EIA para in</w:t>
      </w:r>
      <w:r w:rsidR="56A70812" w:rsidRPr="56655F8F"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  <w:t>icio de construcció</w:t>
      </w:r>
      <w:r w:rsidR="5CB9593A" w:rsidRPr="56655F8F"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  <w:t xml:space="preserve">n </w:t>
      </w:r>
      <w:r w:rsidRPr="56655F8F"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  <w:t xml:space="preserve">del Proyecto Muelle Bicentenario de </w:t>
      </w:r>
      <w:r w:rsidR="0034140A" w:rsidRPr="56655F8F"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  <w:t xml:space="preserve">DP World </w:t>
      </w:r>
      <w:r w:rsidR="00360E44" w:rsidRPr="56655F8F">
        <w:rPr>
          <w:rFonts w:ascii="Tahoma" w:hAnsi="Tahoma" w:cs="Tahoma"/>
          <w:b/>
          <w:bCs/>
          <w:color w:val="1F4E79" w:themeColor="accent5" w:themeShade="80"/>
          <w:sz w:val="28"/>
          <w:szCs w:val="28"/>
        </w:rPr>
        <w:t>Callao</w:t>
      </w:r>
    </w:p>
    <w:p w14:paraId="53E87F7C" w14:textId="5C9E11D4" w:rsidR="0034140A" w:rsidRPr="000D5501" w:rsidRDefault="0034140A" w:rsidP="56655F8F">
      <w:pPr>
        <w:spacing w:after="0" w:line="240" w:lineRule="auto"/>
        <w:ind w:left="360"/>
        <w:rPr>
          <w:rFonts w:ascii="Tahoma" w:hAnsi="Tahoma" w:cs="Tahoma"/>
          <w:color w:val="1F4E79" w:themeColor="accent5" w:themeShade="80"/>
        </w:rPr>
      </w:pPr>
    </w:p>
    <w:p w14:paraId="394795A9" w14:textId="6083C07B" w:rsidR="00685402" w:rsidRPr="000D5501" w:rsidRDefault="59FE578B" w:rsidP="56655F8F">
      <w:pPr>
        <w:pStyle w:val="ListParagraph"/>
        <w:numPr>
          <w:ilvl w:val="0"/>
          <w:numId w:val="6"/>
        </w:numPr>
        <w:shd w:val="clear" w:color="auto" w:fill="FFFFFF" w:themeFill="background1"/>
        <w:spacing w:after="240" w:line="276" w:lineRule="auto"/>
        <w:jc w:val="both"/>
        <w:rPr>
          <w:rFonts w:eastAsiaTheme="minorEastAsia"/>
          <w:color w:val="1F4E79" w:themeColor="accent5" w:themeShade="80"/>
        </w:rPr>
      </w:pPr>
      <w:r w:rsidRPr="56655F8F">
        <w:rPr>
          <w:rFonts w:ascii="Tahoma" w:hAnsi="Tahoma" w:cs="Tahoma"/>
          <w:color w:val="1F4E79" w:themeColor="accent5" w:themeShade="80"/>
        </w:rPr>
        <w:t xml:space="preserve">El Proyecto Muelle </w:t>
      </w:r>
      <w:r w:rsidR="3D7E2CAF" w:rsidRPr="56655F8F">
        <w:rPr>
          <w:rFonts w:ascii="Tahoma" w:hAnsi="Tahoma" w:cs="Tahoma"/>
          <w:color w:val="1F4E79" w:themeColor="accent5" w:themeShade="80"/>
        </w:rPr>
        <w:t xml:space="preserve">Bicentenario </w:t>
      </w:r>
      <w:r w:rsidR="0A46940D" w:rsidRPr="56655F8F">
        <w:rPr>
          <w:rFonts w:ascii="Tahoma" w:hAnsi="Tahoma" w:cs="Tahoma"/>
          <w:color w:val="1F4E79" w:themeColor="accent5" w:themeShade="80"/>
        </w:rPr>
        <w:t>representa</w:t>
      </w:r>
      <w:r w:rsidR="3D7E2CAF" w:rsidRPr="56655F8F">
        <w:rPr>
          <w:rFonts w:ascii="Tahoma" w:hAnsi="Tahoma" w:cs="Tahoma"/>
          <w:color w:val="1F4E79" w:themeColor="accent5" w:themeShade="80"/>
        </w:rPr>
        <w:t xml:space="preserve"> una inversión</w:t>
      </w:r>
      <w:r w:rsidR="6E289359" w:rsidRPr="56655F8F">
        <w:rPr>
          <w:rFonts w:ascii="Tahoma" w:hAnsi="Tahoma" w:cs="Tahoma"/>
          <w:color w:val="1F4E79" w:themeColor="accent5" w:themeShade="80"/>
        </w:rPr>
        <w:t xml:space="preserve"> de US$350 millones</w:t>
      </w:r>
      <w:r w:rsidR="4AF260DA" w:rsidRPr="56655F8F">
        <w:rPr>
          <w:rFonts w:ascii="Tahoma" w:hAnsi="Tahoma" w:cs="Tahoma"/>
          <w:color w:val="1F4E79" w:themeColor="accent5" w:themeShade="80"/>
        </w:rPr>
        <w:t xml:space="preserve"> e incrementará la capacidad de atención del puerto de 1.3 hasta los </w:t>
      </w:r>
      <w:r w:rsidR="00827AA7">
        <w:rPr>
          <w:rFonts w:ascii="Tahoma" w:hAnsi="Tahoma" w:cs="Tahoma"/>
          <w:color w:val="1F4E79" w:themeColor="accent5" w:themeShade="80"/>
        </w:rPr>
        <w:t xml:space="preserve">casi 2 </w:t>
      </w:r>
      <w:r w:rsidR="4AF260DA" w:rsidRPr="56655F8F">
        <w:rPr>
          <w:rFonts w:ascii="Tahoma" w:hAnsi="Tahoma" w:cs="Tahoma"/>
          <w:color w:val="1F4E79" w:themeColor="accent5" w:themeShade="80"/>
        </w:rPr>
        <w:t>millones de TEUs.</w:t>
      </w:r>
    </w:p>
    <w:p w14:paraId="7D233222" w14:textId="68EF2784" w:rsidR="00E83410" w:rsidRDefault="59EA60BF" w:rsidP="434981E5">
      <w:pPr>
        <w:rPr>
          <w:rFonts w:ascii="Tahoma" w:hAnsi="Tahoma" w:cs="Tahoma"/>
          <w:b/>
          <w:bCs/>
          <w:color w:val="1F4E79" w:themeColor="accent5" w:themeShade="80"/>
        </w:rPr>
      </w:pPr>
      <w:r w:rsidRPr="56655F8F">
        <w:rPr>
          <w:rFonts w:ascii="Tahoma" w:hAnsi="Tahoma" w:cs="Tahoma"/>
          <w:b/>
          <w:bCs/>
          <w:color w:val="1F4E79" w:themeColor="accent5" w:themeShade="80"/>
        </w:rPr>
        <w:t>2</w:t>
      </w:r>
      <w:r w:rsidR="4D8291BD" w:rsidRPr="56655F8F">
        <w:rPr>
          <w:rFonts w:ascii="Tahoma" w:hAnsi="Tahoma" w:cs="Tahoma"/>
          <w:b/>
          <w:bCs/>
          <w:color w:val="1F4E79" w:themeColor="accent5" w:themeShade="80"/>
        </w:rPr>
        <w:t>7</w:t>
      </w:r>
      <w:r w:rsidR="00C453CF" w:rsidRPr="56655F8F">
        <w:rPr>
          <w:rFonts w:ascii="Tahoma" w:hAnsi="Tahoma" w:cs="Tahoma"/>
          <w:b/>
          <w:bCs/>
          <w:color w:val="1F4E79" w:themeColor="accent5" w:themeShade="80"/>
        </w:rPr>
        <w:t>/julio</w:t>
      </w:r>
      <w:r w:rsidR="00360E44" w:rsidRPr="56655F8F">
        <w:rPr>
          <w:rFonts w:ascii="Tahoma" w:hAnsi="Tahoma" w:cs="Tahoma"/>
          <w:b/>
          <w:bCs/>
          <w:color w:val="1F4E79" w:themeColor="accent5" w:themeShade="80"/>
        </w:rPr>
        <w:t>/202</w:t>
      </w:r>
      <w:r w:rsidR="00C453CF" w:rsidRPr="56655F8F">
        <w:rPr>
          <w:rFonts w:ascii="Tahoma" w:hAnsi="Tahoma" w:cs="Tahoma"/>
          <w:b/>
          <w:bCs/>
          <w:color w:val="1F4E79" w:themeColor="accent5" w:themeShade="80"/>
        </w:rPr>
        <w:t>1</w:t>
      </w:r>
    </w:p>
    <w:p w14:paraId="7A0938E1" w14:textId="0AC6633E" w:rsidR="009D4590" w:rsidRDefault="009A52EF" w:rsidP="56655F8F">
      <w:pPr>
        <w:jc w:val="both"/>
        <w:rPr>
          <w:rFonts w:ascii="Tahoma" w:hAnsi="Tahoma" w:cs="Tahoma"/>
          <w:color w:val="1F4E79" w:themeColor="accent5" w:themeShade="80"/>
        </w:rPr>
      </w:pPr>
      <w:r>
        <w:rPr>
          <w:rFonts w:ascii="Tahoma" w:hAnsi="Tahoma" w:cs="Tahoma"/>
          <w:color w:val="1F4E79" w:themeColor="accent5" w:themeShade="80"/>
        </w:rPr>
        <w:t xml:space="preserve">La </w:t>
      </w:r>
      <w:r w:rsidR="00A33E7E" w:rsidRPr="00A33E7E">
        <w:rPr>
          <w:rFonts w:ascii="Tahoma" w:hAnsi="Tahoma" w:cs="Tahoma"/>
          <w:color w:val="1F4E79" w:themeColor="accent5" w:themeShade="80"/>
        </w:rPr>
        <w:t>Dirección General de Asuntos Ambientales</w:t>
      </w:r>
      <w:r w:rsidR="00A33E7E">
        <w:rPr>
          <w:rFonts w:ascii="Tahoma" w:hAnsi="Tahoma" w:cs="Tahoma"/>
          <w:color w:val="1F4E79" w:themeColor="accent5" w:themeShade="80"/>
        </w:rPr>
        <w:t xml:space="preserve"> </w:t>
      </w:r>
      <w:r w:rsidR="3EA235D6" w:rsidRPr="56655F8F">
        <w:rPr>
          <w:rFonts w:ascii="Tahoma" w:hAnsi="Tahoma" w:cs="Tahoma"/>
          <w:color w:val="1F4E79" w:themeColor="accent5" w:themeShade="80"/>
        </w:rPr>
        <w:t>(</w:t>
      </w:r>
      <w:r w:rsidR="00A33E7E">
        <w:rPr>
          <w:rFonts w:ascii="Tahoma" w:hAnsi="Tahoma" w:cs="Tahoma"/>
          <w:color w:val="1F4E79" w:themeColor="accent5" w:themeShade="80"/>
        </w:rPr>
        <w:t>DGAAM</w:t>
      </w:r>
      <w:r w:rsidR="3EA235D6" w:rsidRPr="56655F8F">
        <w:rPr>
          <w:rFonts w:ascii="Tahoma" w:hAnsi="Tahoma" w:cs="Tahoma"/>
          <w:color w:val="1F4E79" w:themeColor="accent5" w:themeShade="80"/>
        </w:rPr>
        <w:t xml:space="preserve">) </w:t>
      </w:r>
      <w:r w:rsidR="00A33E7E">
        <w:rPr>
          <w:rFonts w:ascii="Tahoma" w:hAnsi="Tahoma" w:cs="Tahoma"/>
          <w:color w:val="1F4E79" w:themeColor="accent5" w:themeShade="80"/>
        </w:rPr>
        <w:t xml:space="preserve">del Ministerio de Transportes y </w:t>
      </w:r>
      <w:r>
        <w:rPr>
          <w:rFonts w:ascii="Tahoma" w:hAnsi="Tahoma" w:cs="Tahoma"/>
          <w:color w:val="1F4E79" w:themeColor="accent5" w:themeShade="80"/>
        </w:rPr>
        <w:t>Comunicaciones</w:t>
      </w:r>
      <w:r w:rsidR="00A33E7E">
        <w:rPr>
          <w:rFonts w:ascii="Tahoma" w:hAnsi="Tahoma" w:cs="Tahoma"/>
          <w:color w:val="1F4E79" w:themeColor="accent5" w:themeShade="80"/>
        </w:rPr>
        <w:t xml:space="preserve"> (MTC), </w:t>
      </w:r>
      <w:r w:rsidR="3593A2EF" w:rsidRPr="56655F8F">
        <w:rPr>
          <w:rFonts w:ascii="Tahoma" w:hAnsi="Tahoma" w:cs="Tahoma"/>
          <w:color w:val="1F4E79" w:themeColor="accent5" w:themeShade="80"/>
        </w:rPr>
        <w:t xml:space="preserve">aprobó el Estudio de Impacto Ambiental </w:t>
      </w:r>
      <w:r>
        <w:rPr>
          <w:rFonts w:ascii="Tahoma" w:hAnsi="Tahoma" w:cs="Tahoma"/>
          <w:color w:val="1F4E79" w:themeColor="accent5" w:themeShade="80"/>
        </w:rPr>
        <w:t xml:space="preserve">a nivel semidetallado </w:t>
      </w:r>
      <w:r w:rsidR="3593A2EF" w:rsidRPr="56655F8F">
        <w:rPr>
          <w:rFonts w:ascii="Tahoma" w:hAnsi="Tahoma" w:cs="Tahoma"/>
          <w:color w:val="1F4E79" w:themeColor="accent5" w:themeShade="80"/>
        </w:rPr>
        <w:t xml:space="preserve">(EIA) </w:t>
      </w:r>
      <w:r w:rsidR="245B3ED3" w:rsidRPr="56655F8F">
        <w:rPr>
          <w:rFonts w:ascii="Tahoma" w:hAnsi="Tahoma" w:cs="Tahoma"/>
          <w:color w:val="1F4E79" w:themeColor="accent5" w:themeShade="80"/>
        </w:rPr>
        <w:t>para el Proyecto Muelle Bicentenario de DP World Callao</w:t>
      </w:r>
      <w:r w:rsidR="751D49D2" w:rsidRPr="56655F8F">
        <w:rPr>
          <w:rFonts w:ascii="Tahoma" w:hAnsi="Tahoma" w:cs="Tahoma"/>
          <w:color w:val="1F4E79" w:themeColor="accent5" w:themeShade="80"/>
        </w:rPr>
        <w:t>, el cual</w:t>
      </w:r>
      <w:r w:rsidR="39B2CC60" w:rsidRPr="56655F8F">
        <w:rPr>
          <w:rFonts w:ascii="Tahoma" w:hAnsi="Tahoma" w:cs="Tahoma"/>
          <w:color w:val="1F4E79" w:themeColor="accent5" w:themeShade="80"/>
        </w:rPr>
        <w:t xml:space="preserve"> consiste en la extensión de hasta 1,050 metros del actual </w:t>
      </w:r>
      <w:r>
        <w:rPr>
          <w:rFonts w:ascii="Tahoma" w:hAnsi="Tahoma" w:cs="Tahoma"/>
          <w:color w:val="1F4E79" w:themeColor="accent5" w:themeShade="80"/>
        </w:rPr>
        <w:t>M</w:t>
      </w:r>
      <w:r w:rsidR="39B2CC60" w:rsidRPr="56655F8F">
        <w:rPr>
          <w:rFonts w:ascii="Tahoma" w:hAnsi="Tahoma" w:cs="Tahoma"/>
          <w:color w:val="1F4E79" w:themeColor="accent5" w:themeShade="80"/>
        </w:rPr>
        <w:t xml:space="preserve">uelle </w:t>
      </w:r>
      <w:r>
        <w:rPr>
          <w:rFonts w:ascii="Tahoma" w:hAnsi="Tahoma" w:cs="Tahoma"/>
          <w:color w:val="1F4E79" w:themeColor="accent5" w:themeShade="80"/>
        </w:rPr>
        <w:t>S</w:t>
      </w:r>
      <w:r w:rsidR="39B2CC60" w:rsidRPr="56655F8F">
        <w:rPr>
          <w:rFonts w:ascii="Tahoma" w:hAnsi="Tahoma" w:cs="Tahoma"/>
          <w:color w:val="1F4E79" w:themeColor="accent5" w:themeShade="80"/>
        </w:rPr>
        <w:t>ur del Puerto del Callao.</w:t>
      </w:r>
    </w:p>
    <w:p w14:paraId="16E87C8C" w14:textId="7DAA68EA" w:rsidR="00562278" w:rsidRPr="00A90798" w:rsidRDefault="25F54102" w:rsidP="56655F8F">
      <w:pPr>
        <w:jc w:val="both"/>
        <w:rPr>
          <w:rFonts w:ascii="Tahoma" w:hAnsi="Tahoma" w:cs="Tahoma"/>
          <w:color w:val="1F4E79" w:themeColor="accent5" w:themeShade="80"/>
        </w:rPr>
      </w:pPr>
      <w:r w:rsidRPr="56655F8F">
        <w:rPr>
          <w:rFonts w:ascii="Tahoma" w:hAnsi="Tahoma" w:cs="Tahoma"/>
          <w:color w:val="1F4E79" w:themeColor="accent5" w:themeShade="80"/>
        </w:rPr>
        <w:t>Con e</w:t>
      </w:r>
      <w:r w:rsidR="5F34C3B5" w:rsidRPr="56655F8F">
        <w:rPr>
          <w:rFonts w:ascii="Tahoma" w:hAnsi="Tahoma" w:cs="Tahoma"/>
          <w:color w:val="1F4E79" w:themeColor="accent5" w:themeShade="80"/>
        </w:rPr>
        <w:t>ste proyecto</w:t>
      </w:r>
      <w:r w:rsidR="49CEFD0E" w:rsidRPr="56655F8F">
        <w:rPr>
          <w:rFonts w:ascii="Tahoma" w:hAnsi="Tahoma" w:cs="Tahoma"/>
          <w:color w:val="1F4E79" w:themeColor="accent5" w:themeShade="80"/>
        </w:rPr>
        <w:t>,</w:t>
      </w:r>
      <w:r w:rsidR="5F34C3B5" w:rsidRPr="56655F8F">
        <w:rPr>
          <w:rFonts w:ascii="Tahoma" w:hAnsi="Tahoma" w:cs="Tahoma"/>
          <w:color w:val="1F4E79" w:themeColor="accent5" w:themeShade="80"/>
        </w:rPr>
        <w:t xml:space="preserve"> la capacidad de atención de</w:t>
      </w:r>
      <w:r w:rsidR="3EACDCEC" w:rsidRPr="56655F8F">
        <w:rPr>
          <w:rFonts w:ascii="Tahoma" w:hAnsi="Tahoma" w:cs="Tahoma"/>
          <w:color w:val="1F4E79" w:themeColor="accent5" w:themeShade="80"/>
        </w:rPr>
        <w:t>l puerto</w:t>
      </w:r>
      <w:r w:rsidR="5F34C3B5" w:rsidRPr="56655F8F">
        <w:rPr>
          <w:rFonts w:ascii="Tahoma" w:hAnsi="Tahoma" w:cs="Tahoma"/>
          <w:color w:val="1F4E79" w:themeColor="accent5" w:themeShade="80"/>
        </w:rPr>
        <w:t xml:space="preserve"> se incrementará </w:t>
      </w:r>
      <w:r w:rsidR="6A7C8A75" w:rsidRPr="56655F8F">
        <w:rPr>
          <w:rFonts w:ascii="Tahoma" w:hAnsi="Tahoma" w:cs="Tahoma"/>
          <w:color w:val="1F4E79" w:themeColor="accent5" w:themeShade="80"/>
        </w:rPr>
        <w:t>d</w:t>
      </w:r>
      <w:r w:rsidR="55BCD4FD" w:rsidRPr="56655F8F">
        <w:rPr>
          <w:rFonts w:ascii="Tahoma" w:hAnsi="Tahoma" w:cs="Tahoma"/>
          <w:color w:val="1F4E79" w:themeColor="accent5" w:themeShade="80"/>
        </w:rPr>
        <w:t xml:space="preserve">e 1.3 hasta los </w:t>
      </w:r>
      <w:r w:rsidR="00A33E7E">
        <w:rPr>
          <w:rFonts w:ascii="Tahoma" w:hAnsi="Tahoma" w:cs="Tahoma"/>
          <w:color w:val="1F4E79" w:themeColor="accent5" w:themeShade="80"/>
        </w:rPr>
        <w:t>casi 2 m</w:t>
      </w:r>
      <w:r w:rsidR="55BCD4FD" w:rsidRPr="56655F8F">
        <w:rPr>
          <w:rFonts w:ascii="Tahoma" w:hAnsi="Tahoma" w:cs="Tahoma"/>
          <w:color w:val="1F4E79" w:themeColor="accent5" w:themeShade="80"/>
        </w:rPr>
        <w:t xml:space="preserve">illones de TEUs (contenedores de 20 pies) por año, y se podrá </w:t>
      </w:r>
      <w:r w:rsidR="251B340C" w:rsidRPr="56655F8F">
        <w:rPr>
          <w:rFonts w:ascii="Tahoma" w:hAnsi="Tahoma" w:cs="Tahoma"/>
          <w:color w:val="1F4E79" w:themeColor="accent5" w:themeShade="80"/>
        </w:rPr>
        <w:t>atende</w:t>
      </w:r>
      <w:r w:rsidR="5B32C5BF" w:rsidRPr="56655F8F">
        <w:rPr>
          <w:rFonts w:ascii="Tahoma" w:hAnsi="Tahoma" w:cs="Tahoma"/>
          <w:color w:val="1F4E79" w:themeColor="accent5" w:themeShade="80"/>
        </w:rPr>
        <w:t xml:space="preserve">r </w:t>
      </w:r>
      <w:r w:rsidR="251B340C" w:rsidRPr="56655F8F">
        <w:rPr>
          <w:rFonts w:ascii="Tahoma" w:hAnsi="Tahoma" w:cs="Tahoma"/>
          <w:color w:val="1F4E79" w:themeColor="accent5" w:themeShade="80"/>
        </w:rPr>
        <w:t>simultáneamente hasta tres buques Neo Panamax</w:t>
      </w:r>
      <w:r w:rsidR="47DF3298" w:rsidRPr="56655F8F">
        <w:rPr>
          <w:rFonts w:ascii="Tahoma" w:hAnsi="Tahoma" w:cs="Tahoma"/>
          <w:color w:val="1F4E79" w:themeColor="accent5" w:themeShade="80"/>
        </w:rPr>
        <w:t>.</w:t>
      </w:r>
    </w:p>
    <w:p w14:paraId="67EABA62" w14:textId="335753E2" w:rsidR="00562278" w:rsidRPr="00A90798" w:rsidRDefault="1214E063" w:rsidP="56655F8F">
      <w:pPr>
        <w:spacing w:after="0" w:line="240" w:lineRule="auto"/>
        <w:jc w:val="both"/>
        <w:rPr>
          <w:rFonts w:ascii="Tahoma" w:hAnsi="Tahoma" w:cs="Tahoma"/>
          <w:color w:val="1F4E79" w:themeColor="accent5" w:themeShade="80"/>
        </w:rPr>
      </w:pPr>
      <w:r w:rsidRPr="56655F8F">
        <w:rPr>
          <w:rFonts w:ascii="Tahoma" w:hAnsi="Tahoma" w:cs="Tahoma"/>
          <w:color w:val="1F4E79" w:themeColor="accent5" w:themeShade="80"/>
        </w:rPr>
        <w:t>“Gracias a la aprobación del EIA</w:t>
      </w:r>
      <w:r w:rsidR="00C9594B" w:rsidRPr="56655F8F">
        <w:rPr>
          <w:rFonts w:ascii="Tahoma" w:hAnsi="Tahoma" w:cs="Tahoma"/>
          <w:color w:val="1F4E79" w:themeColor="accent5" w:themeShade="80"/>
        </w:rPr>
        <w:t xml:space="preserve"> podemos asegurar que </w:t>
      </w:r>
      <w:r w:rsidR="56FEFFE2" w:rsidRPr="56655F8F">
        <w:rPr>
          <w:rFonts w:ascii="Tahoma" w:hAnsi="Tahoma" w:cs="Tahoma"/>
          <w:color w:val="1F4E79" w:themeColor="accent5" w:themeShade="80"/>
        </w:rPr>
        <w:t>el proyecto</w:t>
      </w:r>
      <w:r w:rsidR="00C9594B" w:rsidRPr="56655F8F">
        <w:rPr>
          <w:rFonts w:ascii="Tahoma" w:hAnsi="Tahoma" w:cs="Tahoma"/>
          <w:color w:val="1F4E79" w:themeColor="accent5" w:themeShade="80"/>
        </w:rPr>
        <w:t xml:space="preserve"> r</w:t>
      </w:r>
      <w:r w:rsidR="064F019F" w:rsidRPr="56655F8F">
        <w:rPr>
          <w:rFonts w:ascii="Tahoma" w:hAnsi="Tahoma" w:cs="Tahoma"/>
          <w:color w:val="1F4E79" w:themeColor="accent5" w:themeShade="80"/>
        </w:rPr>
        <w:t>espetará</w:t>
      </w:r>
      <w:r w:rsidR="00C9594B" w:rsidRPr="56655F8F">
        <w:rPr>
          <w:rFonts w:ascii="Tahoma" w:hAnsi="Tahoma" w:cs="Tahoma"/>
          <w:color w:val="1F4E79" w:themeColor="accent5" w:themeShade="80"/>
        </w:rPr>
        <w:t xml:space="preserve"> las normas para el cuidado del medio ambiente</w:t>
      </w:r>
      <w:r w:rsidR="6030A3A7" w:rsidRPr="56655F8F">
        <w:rPr>
          <w:rFonts w:ascii="Tahoma" w:hAnsi="Tahoma" w:cs="Tahoma"/>
          <w:color w:val="1F4E79" w:themeColor="accent5" w:themeShade="80"/>
        </w:rPr>
        <w:t xml:space="preserve">. En DP World hemos cumplido con todos los requisitos necesarios para poder iniciar las obras de construcción de manera responsable y así seguir movilizando contenedores </w:t>
      </w:r>
      <w:r w:rsidR="5C9CDCB6" w:rsidRPr="56655F8F">
        <w:rPr>
          <w:rFonts w:ascii="Tahoma" w:hAnsi="Tahoma" w:cs="Tahoma"/>
          <w:color w:val="1F4E79" w:themeColor="accent5" w:themeShade="80"/>
        </w:rPr>
        <w:t>impactando</w:t>
      </w:r>
      <w:r w:rsidR="6030A3A7" w:rsidRPr="56655F8F">
        <w:rPr>
          <w:rFonts w:ascii="Tahoma" w:hAnsi="Tahoma" w:cs="Tahoma"/>
          <w:color w:val="1F4E79" w:themeColor="accent5" w:themeShade="80"/>
        </w:rPr>
        <w:t xml:space="preserve"> positivamente en la economía del </w:t>
      </w:r>
      <w:r w:rsidR="6030A3A7" w:rsidRPr="00AA688B">
        <w:rPr>
          <w:rFonts w:ascii="Tahoma" w:hAnsi="Tahoma" w:cs="Tahoma"/>
          <w:color w:val="1F4E79" w:themeColor="accent5" w:themeShade="80"/>
        </w:rPr>
        <w:t>país</w:t>
      </w:r>
      <w:r w:rsidR="5A4B745D" w:rsidRPr="00AA688B">
        <w:rPr>
          <w:rFonts w:ascii="Tahoma" w:hAnsi="Tahoma" w:cs="Tahoma"/>
          <w:color w:val="1F4E79" w:themeColor="accent5" w:themeShade="80"/>
        </w:rPr>
        <w:t xml:space="preserve">”, </w:t>
      </w:r>
      <w:r w:rsidR="188190E5" w:rsidRPr="00AA688B">
        <w:rPr>
          <w:rFonts w:ascii="Tahoma" w:hAnsi="Tahoma" w:cs="Tahoma"/>
          <w:color w:val="1F4E79" w:themeColor="accent5" w:themeShade="80"/>
        </w:rPr>
        <w:t>s</w:t>
      </w:r>
      <w:r w:rsidR="7185A199" w:rsidRPr="00AA688B">
        <w:rPr>
          <w:rFonts w:ascii="Tahoma" w:hAnsi="Tahoma" w:cs="Tahoma"/>
          <w:color w:val="1F4E79" w:themeColor="accent5" w:themeShade="80"/>
        </w:rPr>
        <w:t xml:space="preserve">eñaló </w:t>
      </w:r>
      <w:r w:rsidR="00A33E7E" w:rsidRPr="00AA688B">
        <w:rPr>
          <w:rFonts w:ascii="Tahoma" w:hAnsi="Tahoma" w:cs="Tahoma"/>
          <w:color w:val="1F4E79" w:themeColor="accent5" w:themeShade="80"/>
        </w:rPr>
        <w:t>Francisco Roman</w:t>
      </w:r>
      <w:r w:rsidR="7185A199" w:rsidRPr="00AA688B">
        <w:rPr>
          <w:rFonts w:ascii="Tahoma" w:hAnsi="Tahoma" w:cs="Tahoma"/>
          <w:color w:val="1F4E79" w:themeColor="accent5" w:themeShade="80"/>
        </w:rPr>
        <w:t xml:space="preserve">, </w:t>
      </w:r>
      <w:r w:rsidR="00A33E7E" w:rsidRPr="00AA688B">
        <w:rPr>
          <w:rFonts w:ascii="Tahoma" w:hAnsi="Tahoma" w:cs="Tahoma"/>
          <w:color w:val="1F4E79" w:themeColor="accent5" w:themeShade="80"/>
        </w:rPr>
        <w:t xml:space="preserve">Director de Asuntos </w:t>
      </w:r>
      <w:r w:rsidR="00AA688B" w:rsidRPr="00AA688B">
        <w:rPr>
          <w:rFonts w:ascii="Tahoma" w:hAnsi="Tahoma" w:cs="Tahoma"/>
          <w:color w:val="1F4E79" w:themeColor="accent5" w:themeShade="80"/>
        </w:rPr>
        <w:t>L</w:t>
      </w:r>
      <w:r w:rsidR="00A33E7E" w:rsidRPr="00AA688B">
        <w:rPr>
          <w:rFonts w:ascii="Tahoma" w:hAnsi="Tahoma" w:cs="Tahoma"/>
          <w:color w:val="1F4E79" w:themeColor="accent5" w:themeShade="80"/>
        </w:rPr>
        <w:t xml:space="preserve">egales y Corporativos </w:t>
      </w:r>
      <w:r w:rsidR="7185A199" w:rsidRPr="00AA688B">
        <w:rPr>
          <w:rFonts w:ascii="Tahoma" w:hAnsi="Tahoma" w:cs="Tahoma"/>
          <w:color w:val="1F4E79" w:themeColor="accent5" w:themeShade="80"/>
        </w:rPr>
        <w:t>de DP World Perú.</w:t>
      </w:r>
      <w:r w:rsidR="7185A199" w:rsidRPr="56655F8F">
        <w:rPr>
          <w:rFonts w:ascii="Tahoma" w:hAnsi="Tahoma" w:cs="Tahoma"/>
          <w:color w:val="1F4E79" w:themeColor="accent5" w:themeShade="80"/>
        </w:rPr>
        <w:t xml:space="preserve"> </w:t>
      </w:r>
    </w:p>
    <w:p w14:paraId="6AEFFD29" w14:textId="5D041F6F" w:rsidR="00562278" w:rsidRPr="00A90798" w:rsidRDefault="00562278" w:rsidP="56655F8F">
      <w:pPr>
        <w:spacing w:after="0" w:line="240" w:lineRule="auto"/>
        <w:jc w:val="both"/>
        <w:rPr>
          <w:rFonts w:ascii="Tahoma" w:hAnsi="Tahoma" w:cs="Tahoma"/>
          <w:color w:val="1F4E79" w:themeColor="accent5" w:themeShade="80"/>
        </w:rPr>
      </w:pPr>
    </w:p>
    <w:p w14:paraId="3438A1B6" w14:textId="05E1734E" w:rsidR="00562278" w:rsidRPr="00A90798" w:rsidRDefault="0D2460AD" w:rsidP="56655F8F">
      <w:pPr>
        <w:spacing w:after="0" w:line="240" w:lineRule="auto"/>
        <w:jc w:val="both"/>
        <w:rPr>
          <w:rFonts w:ascii="Tahoma" w:hAnsi="Tahoma" w:cs="Tahoma"/>
          <w:color w:val="1F4E79" w:themeColor="accent5" w:themeShade="80"/>
        </w:rPr>
      </w:pPr>
      <w:r w:rsidRPr="56655F8F">
        <w:rPr>
          <w:rFonts w:ascii="Tahoma" w:hAnsi="Tahoma" w:cs="Tahoma"/>
          <w:color w:val="1F4E79" w:themeColor="accent5" w:themeShade="80"/>
        </w:rPr>
        <w:t>Cabe destacar que</w:t>
      </w:r>
      <w:r w:rsidR="59FF1AA8" w:rsidRPr="56655F8F">
        <w:rPr>
          <w:rFonts w:ascii="Tahoma" w:hAnsi="Tahoma" w:cs="Tahoma"/>
          <w:color w:val="1F4E79" w:themeColor="accent5" w:themeShade="80"/>
        </w:rPr>
        <w:t xml:space="preserve">, </w:t>
      </w:r>
      <w:r w:rsidRPr="56655F8F">
        <w:rPr>
          <w:rFonts w:ascii="Tahoma" w:hAnsi="Tahoma" w:cs="Tahoma"/>
          <w:color w:val="1F4E79" w:themeColor="accent5" w:themeShade="80"/>
        </w:rPr>
        <w:t xml:space="preserve">en el proceso de evaluación de este estudio, participaron diversas instituciones públicas, entre ellas el MTC, </w:t>
      </w:r>
      <w:r w:rsidR="00A33E7E">
        <w:rPr>
          <w:rFonts w:ascii="Tahoma" w:hAnsi="Tahoma" w:cs="Tahoma"/>
          <w:color w:val="1F4E79" w:themeColor="accent5" w:themeShade="80"/>
        </w:rPr>
        <w:t xml:space="preserve">la Autoridad Portuaria Nacional, la </w:t>
      </w:r>
      <w:r w:rsidR="009A52EF">
        <w:rPr>
          <w:rFonts w:ascii="Tahoma" w:hAnsi="Tahoma" w:cs="Tahoma"/>
          <w:color w:val="1F4E79" w:themeColor="accent5" w:themeShade="80"/>
        </w:rPr>
        <w:t>D</w:t>
      </w:r>
      <w:r w:rsidR="00A33E7E">
        <w:rPr>
          <w:rFonts w:ascii="Tahoma" w:hAnsi="Tahoma" w:cs="Tahoma"/>
          <w:color w:val="1F4E79" w:themeColor="accent5" w:themeShade="80"/>
        </w:rPr>
        <w:t>irección de Capitanías</w:t>
      </w:r>
      <w:r w:rsidR="009A52EF">
        <w:rPr>
          <w:rFonts w:ascii="Tahoma" w:hAnsi="Tahoma" w:cs="Tahoma"/>
          <w:color w:val="1F4E79" w:themeColor="accent5" w:themeShade="80"/>
        </w:rPr>
        <w:t xml:space="preserve"> de la Marina de Guerra del Perú</w:t>
      </w:r>
      <w:r w:rsidR="00A33E7E">
        <w:rPr>
          <w:rFonts w:ascii="Tahoma" w:hAnsi="Tahoma" w:cs="Tahoma"/>
          <w:color w:val="1F4E79" w:themeColor="accent5" w:themeShade="80"/>
        </w:rPr>
        <w:t xml:space="preserve">, </w:t>
      </w:r>
      <w:r w:rsidR="009A52EF">
        <w:rPr>
          <w:rFonts w:ascii="Tahoma" w:hAnsi="Tahoma" w:cs="Tahoma"/>
          <w:color w:val="1F4E79" w:themeColor="accent5" w:themeShade="80"/>
        </w:rPr>
        <w:t xml:space="preserve">el Ministerio de la </w:t>
      </w:r>
      <w:r w:rsidR="00A33E7E">
        <w:rPr>
          <w:rFonts w:ascii="Tahoma" w:hAnsi="Tahoma" w:cs="Tahoma"/>
          <w:color w:val="1F4E79" w:themeColor="accent5" w:themeShade="80"/>
        </w:rPr>
        <w:t>Produc</w:t>
      </w:r>
      <w:r w:rsidR="009A52EF">
        <w:rPr>
          <w:rFonts w:ascii="Tahoma" w:hAnsi="Tahoma" w:cs="Tahoma"/>
          <w:color w:val="1F4E79" w:themeColor="accent5" w:themeShade="80"/>
        </w:rPr>
        <w:t>ción, entre otros</w:t>
      </w:r>
      <w:r w:rsidRPr="56655F8F">
        <w:rPr>
          <w:rFonts w:ascii="Tahoma" w:hAnsi="Tahoma" w:cs="Tahoma"/>
          <w:color w:val="1F4E79" w:themeColor="accent5" w:themeShade="80"/>
        </w:rPr>
        <w:t xml:space="preserve">. Asimismo, se implementaron mecanismos de participación ciudadana como audiencias públicas </w:t>
      </w:r>
      <w:r w:rsidR="009A52EF">
        <w:rPr>
          <w:rFonts w:ascii="Tahoma" w:hAnsi="Tahoma" w:cs="Tahoma"/>
          <w:color w:val="1F4E79" w:themeColor="accent5" w:themeShade="80"/>
        </w:rPr>
        <w:t xml:space="preserve">y </w:t>
      </w:r>
      <w:r w:rsidR="00AA688B">
        <w:rPr>
          <w:rFonts w:ascii="Tahoma" w:hAnsi="Tahoma" w:cs="Tahoma"/>
          <w:color w:val="1F4E79" w:themeColor="accent5" w:themeShade="80"/>
        </w:rPr>
        <w:t xml:space="preserve">una página web </w:t>
      </w:r>
      <w:r w:rsidRPr="56655F8F">
        <w:rPr>
          <w:rFonts w:ascii="Tahoma" w:hAnsi="Tahoma" w:cs="Tahoma"/>
          <w:color w:val="1F4E79" w:themeColor="accent5" w:themeShade="80"/>
        </w:rPr>
        <w:t>para garantizar que la población conozca las características del proyecto y brinde sus aportes sobre el mismo.</w:t>
      </w:r>
    </w:p>
    <w:p w14:paraId="48C3BD8E" w14:textId="27962FE1" w:rsidR="00562278" w:rsidRPr="00A90798" w:rsidRDefault="00562278" w:rsidP="56655F8F">
      <w:pPr>
        <w:spacing w:after="0" w:line="240" w:lineRule="auto"/>
        <w:jc w:val="both"/>
        <w:rPr>
          <w:rFonts w:ascii="Tahoma" w:hAnsi="Tahoma" w:cs="Tahoma"/>
          <w:color w:val="1F4E79" w:themeColor="accent5" w:themeShade="80"/>
        </w:rPr>
      </w:pPr>
    </w:p>
    <w:p w14:paraId="67AC4A2F" w14:textId="4C478C58" w:rsidR="00562278" w:rsidRPr="00A90798" w:rsidRDefault="40734604" w:rsidP="56655F8F">
      <w:pPr>
        <w:spacing w:after="0" w:line="240" w:lineRule="auto"/>
        <w:jc w:val="both"/>
        <w:rPr>
          <w:rFonts w:ascii="Tahoma" w:hAnsi="Tahoma" w:cs="Tahoma"/>
          <w:color w:val="1F4E79" w:themeColor="accent5" w:themeShade="80"/>
        </w:rPr>
      </w:pPr>
      <w:r w:rsidRPr="56655F8F">
        <w:rPr>
          <w:rFonts w:ascii="Tahoma" w:hAnsi="Tahoma" w:cs="Tahoma"/>
          <w:color w:val="1F4E79" w:themeColor="accent5" w:themeShade="80"/>
        </w:rPr>
        <w:t>Se tiene previsto iniciar la</w:t>
      </w:r>
      <w:r w:rsidR="53EC0E57" w:rsidRPr="56655F8F">
        <w:rPr>
          <w:rFonts w:ascii="Tahoma" w:hAnsi="Tahoma" w:cs="Tahoma"/>
          <w:color w:val="1F4E79" w:themeColor="accent5" w:themeShade="80"/>
        </w:rPr>
        <w:t>s</w:t>
      </w:r>
      <w:r w:rsidRPr="56655F8F">
        <w:rPr>
          <w:rFonts w:ascii="Tahoma" w:hAnsi="Tahoma" w:cs="Tahoma"/>
          <w:color w:val="1F4E79" w:themeColor="accent5" w:themeShade="80"/>
        </w:rPr>
        <w:t xml:space="preserve"> </w:t>
      </w:r>
      <w:r w:rsidR="53EC0E57" w:rsidRPr="56655F8F">
        <w:rPr>
          <w:rFonts w:ascii="Tahoma" w:hAnsi="Tahoma" w:cs="Tahoma"/>
          <w:color w:val="1F4E79" w:themeColor="accent5" w:themeShade="80"/>
        </w:rPr>
        <w:t xml:space="preserve">obras de construcción </w:t>
      </w:r>
      <w:r w:rsidRPr="56655F8F">
        <w:rPr>
          <w:rFonts w:ascii="Tahoma" w:hAnsi="Tahoma" w:cs="Tahoma"/>
          <w:color w:val="1F4E79" w:themeColor="accent5" w:themeShade="80"/>
        </w:rPr>
        <w:t>en esta segunda mitad</w:t>
      </w:r>
      <w:r w:rsidR="0617D50A" w:rsidRPr="56655F8F">
        <w:rPr>
          <w:rFonts w:ascii="Tahoma" w:hAnsi="Tahoma" w:cs="Tahoma"/>
          <w:color w:val="1F4E79" w:themeColor="accent5" w:themeShade="80"/>
        </w:rPr>
        <w:t xml:space="preserve"> del </w:t>
      </w:r>
      <w:r w:rsidRPr="56655F8F">
        <w:rPr>
          <w:rFonts w:ascii="Tahoma" w:hAnsi="Tahoma" w:cs="Tahoma"/>
          <w:color w:val="1F4E79" w:themeColor="accent5" w:themeShade="80"/>
        </w:rPr>
        <w:t>año</w:t>
      </w:r>
      <w:r w:rsidR="26F5864A" w:rsidRPr="56655F8F">
        <w:rPr>
          <w:rFonts w:ascii="Tahoma" w:hAnsi="Tahoma" w:cs="Tahoma"/>
          <w:color w:val="1F4E79" w:themeColor="accent5" w:themeShade="80"/>
        </w:rPr>
        <w:t>, y se estima que</w:t>
      </w:r>
      <w:r w:rsidR="00A33E7E">
        <w:rPr>
          <w:rFonts w:ascii="Tahoma" w:hAnsi="Tahoma" w:cs="Tahoma"/>
          <w:color w:val="1F4E79" w:themeColor="accent5" w:themeShade="80"/>
        </w:rPr>
        <w:t xml:space="preserve">, a partir del primer trimestre del </w:t>
      </w:r>
      <w:r w:rsidR="26F5864A" w:rsidRPr="56655F8F">
        <w:rPr>
          <w:rFonts w:ascii="Tahoma" w:hAnsi="Tahoma" w:cs="Tahoma"/>
          <w:color w:val="1F4E79" w:themeColor="accent5" w:themeShade="80"/>
        </w:rPr>
        <w:t>2024 el Muelle Bicentenario inicie</w:t>
      </w:r>
      <w:r w:rsidR="16E3BAD8" w:rsidRPr="56655F8F">
        <w:rPr>
          <w:rFonts w:ascii="Tahoma" w:hAnsi="Tahoma" w:cs="Tahoma"/>
          <w:color w:val="1F4E79" w:themeColor="accent5" w:themeShade="80"/>
        </w:rPr>
        <w:t xml:space="preserve"> sus</w:t>
      </w:r>
      <w:r w:rsidR="26F5864A" w:rsidRPr="56655F8F">
        <w:rPr>
          <w:rFonts w:ascii="Tahoma" w:hAnsi="Tahoma" w:cs="Tahoma"/>
          <w:color w:val="1F4E79" w:themeColor="accent5" w:themeShade="80"/>
        </w:rPr>
        <w:t xml:space="preserve"> operaciones. </w:t>
      </w:r>
      <w:r w:rsidR="0647F8E3" w:rsidRPr="56655F8F">
        <w:rPr>
          <w:rFonts w:ascii="Tahoma" w:hAnsi="Tahoma" w:cs="Tahoma"/>
          <w:color w:val="1F4E79" w:themeColor="accent5" w:themeShade="80"/>
        </w:rPr>
        <w:t xml:space="preserve">Con este proyecto, </w:t>
      </w:r>
      <w:r w:rsidR="26F5864A" w:rsidRPr="56655F8F">
        <w:rPr>
          <w:rFonts w:ascii="Tahoma" w:hAnsi="Tahoma" w:cs="Tahoma"/>
          <w:color w:val="1F4E79" w:themeColor="accent5" w:themeShade="80"/>
        </w:rPr>
        <w:t>DP World Callao habrá invertido más de US$ 800 millones en la concesi</w:t>
      </w:r>
      <w:r w:rsidR="3587FF42" w:rsidRPr="56655F8F">
        <w:rPr>
          <w:rFonts w:ascii="Tahoma" w:hAnsi="Tahoma" w:cs="Tahoma"/>
          <w:color w:val="1F4E79" w:themeColor="accent5" w:themeShade="80"/>
        </w:rPr>
        <w:t>ón del Terminal Sur del Puerto del Callao.</w:t>
      </w:r>
    </w:p>
    <w:p w14:paraId="1FEE47F8" w14:textId="30797F75" w:rsidR="00562278" w:rsidRPr="00A90798" w:rsidRDefault="00562278" w:rsidP="56655F8F">
      <w:pPr>
        <w:spacing w:after="0" w:line="240" w:lineRule="auto"/>
        <w:jc w:val="both"/>
        <w:rPr>
          <w:rFonts w:ascii="Tahoma" w:hAnsi="Tahoma" w:cs="Tahoma"/>
          <w:color w:val="1F4E79" w:themeColor="accent5" w:themeShade="80"/>
        </w:rPr>
      </w:pPr>
    </w:p>
    <w:p w14:paraId="1BE7A24F" w14:textId="3D8E3DF1" w:rsidR="00562278" w:rsidRPr="00A90798" w:rsidRDefault="00562278" w:rsidP="56655F8F">
      <w:pPr>
        <w:spacing w:after="0" w:line="240" w:lineRule="auto"/>
        <w:jc w:val="both"/>
        <w:rPr>
          <w:rFonts w:ascii="Tahoma" w:hAnsi="Tahoma" w:cs="Tahoma"/>
          <w:b/>
          <w:bCs/>
          <w:color w:val="002848"/>
          <w:sz w:val="20"/>
          <w:szCs w:val="20"/>
        </w:rPr>
      </w:pPr>
      <w:r w:rsidRPr="56655F8F">
        <w:rPr>
          <w:rFonts w:ascii="Tahoma" w:hAnsi="Tahoma" w:cs="Tahoma"/>
          <w:b/>
          <w:bCs/>
          <w:color w:val="002848"/>
          <w:sz w:val="20"/>
          <w:szCs w:val="20"/>
        </w:rPr>
        <w:t>C</w:t>
      </w:r>
      <w:r w:rsidR="00A90798" w:rsidRPr="56655F8F">
        <w:rPr>
          <w:rFonts w:ascii="Tahoma" w:hAnsi="Tahoma" w:cs="Tahoma"/>
          <w:b/>
          <w:bCs/>
          <w:color w:val="002848"/>
          <w:sz w:val="20"/>
          <w:szCs w:val="20"/>
        </w:rPr>
        <w:t>ontacto</w:t>
      </w:r>
      <w:r w:rsidRPr="56655F8F">
        <w:rPr>
          <w:rFonts w:ascii="Tahoma" w:hAnsi="Tahoma" w:cs="Tahoma"/>
          <w:b/>
          <w:bCs/>
          <w:color w:val="002848"/>
          <w:sz w:val="20"/>
          <w:szCs w:val="20"/>
        </w:rPr>
        <w:t xml:space="preserve"> de prensa: </w:t>
      </w:r>
      <w:r>
        <w:tab/>
      </w:r>
    </w:p>
    <w:p w14:paraId="32465860" w14:textId="5E128D0D" w:rsidR="00562278" w:rsidRPr="00A90798" w:rsidRDefault="00562278" w:rsidP="56655F8F">
      <w:pPr>
        <w:spacing w:after="0" w:line="240" w:lineRule="auto"/>
        <w:jc w:val="both"/>
        <w:rPr>
          <w:rFonts w:ascii="Tahoma" w:hAnsi="Tahoma" w:cs="Tahoma"/>
          <w:b/>
          <w:bCs/>
          <w:color w:val="002848"/>
          <w:sz w:val="20"/>
          <w:szCs w:val="20"/>
        </w:rPr>
      </w:pPr>
      <w:r>
        <w:br/>
      </w:r>
      <w:r w:rsidRPr="56655F8F">
        <w:rPr>
          <w:rFonts w:ascii="Tahoma" w:eastAsiaTheme="minorEastAsia" w:hAnsi="Tahoma" w:cs="Tahoma"/>
          <w:color w:val="002848"/>
          <w:sz w:val="20"/>
          <w:szCs w:val="20"/>
          <w:lang w:eastAsia="en-GB"/>
        </w:rPr>
        <w:t xml:space="preserve">Natalia Rubio: </w:t>
      </w:r>
      <w:r w:rsidR="00494458" w:rsidRPr="56655F8F">
        <w:rPr>
          <w:rFonts w:ascii="Tahoma" w:eastAsiaTheme="minorEastAsia" w:hAnsi="Tahoma" w:cs="Tahoma"/>
          <w:color w:val="002848"/>
          <w:sz w:val="20"/>
          <w:szCs w:val="20"/>
          <w:lang w:eastAsia="en-GB"/>
        </w:rPr>
        <w:t>969422577</w:t>
      </w:r>
      <w:r w:rsidRPr="56655F8F">
        <w:rPr>
          <w:rFonts w:ascii="Tahoma" w:eastAsiaTheme="minorEastAsia" w:hAnsi="Tahoma" w:cs="Tahoma"/>
          <w:color w:val="002848"/>
          <w:sz w:val="20"/>
          <w:szCs w:val="20"/>
          <w:lang w:eastAsia="en-GB"/>
        </w:rPr>
        <w:t xml:space="preserve"> (</w:t>
      </w:r>
      <w:r w:rsidR="00267A4D">
        <w:fldChar w:fldCharType="begin"/>
      </w:r>
      <w:r w:rsidR="00267A4D">
        <w:instrText xml:space="preserve"> HYPERLINK "mailto:nrubio@apoyocomunicacion.com" \h </w:instrText>
      </w:r>
      <w:r w:rsidR="00267A4D">
        <w:fldChar w:fldCharType="separate"/>
      </w:r>
      <w:r w:rsidRPr="56655F8F">
        <w:rPr>
          <w:rStyle w:val="Hyperlink"/>
          <w:rFonts w:ascii="Tahoma" w:eastAsiaTheme="minorEastAsia" w:hAnsi="Tahoma" w:cs="Tahoma"/>
          <w:sz w:val="20"/>
          <w:szCs w:val="20"/>
          <w:lang w:eastAsia="en-GB"/>
        </w:rPr>
        <w:t>nrubio@apoyocomunicacion.com</w:t>
      </w:r>
      <w:r w:rsidR="00267A4D">
        <w:rPr>
          <w:rStyle w:val="Hyperlink"/>
          <w:rFonts w:ascii="Tahoma" w:eastAsiaTheme="minorEastAsia" w:hAnsi="Tahoma" w:cs="Tahoma"/>
          <w:sz w:val="20"/>
          <w:szCs w:val="20"/>
          <w:lang w:eastAsia="en-GB"/>
        </w:rPr>
        <w:fldChar w:fldCharType="end"/>
      </w:r>
      <w:r w:rsidRPr="56655F8F">
        <w:rPr>
          <w:rFonts w:ascii="Tahoma" w:eastAsiaTheme="minorEastAsia" w:hAnsi="Tahoma" w:cs="Tahoma"/>
          <w:color w:val="002848"/>
          <w:sz w:val="20"/>
          <w:szCs w:val="20"/>
          <w:lang w:eastAsia="en-GB"/>
        </w:rPr>
        <w:t>)</w:t>
      </w:r>
    </w:p>
    <w:p w14:paraId="4C7B951F" w14:textId="7FF30E2B" w:rsidR="3FEC2298" w:rsidRDefault="3FEC2298" w:rsidP="434981E5">
      <w:pPr>
        <w:rPr>
          <w:rFonts w:ascii="Tahoma" w:eastAsiaTheme="minorEastAsia" w:hAnsi="Tahoma" w:cs="Tahoma"/>
          <w:color w:val="002848"/>
          <w:sz w:val="20"/>
          <w:szCs w:val="20"/>
          <w:lang w:eastAsia="en-GB"/>
        </w:rPr>
      </w:pPr>
      <w:r w:rsidRPr="434981E5">
        <w:rPr>
          <w:rFonts w:ascii="Tahoma" w:eastAsiaTheme="minorEastAsia" w:hAnsi="Tahoma" w:cs="Tahoma"/>
          <w:color w:val="002848"/>
          <w:sz w:val="20"/>
          <w:szCs w:val="20"/>
          <w:lang w:eastAsia="en-GB"/>
        </w:rPr>
        <w:t>Astrid Balarín: 981346535 (abalarin@apoyocomunicacion.com)</w:t>
      </w:r>
    </w:p>
    <w:p w14:paraId="09C385A2" w14:textId="1F820630" w:rsidR="434981E5" w:rsidRDefault="434981E5" w:rsidP="434981E5">
      <w:pPr>
        <w:rPr>
          <w:rFonts w:ascii="Tahoma" w:eastAsiaTheme="minorEastAsia" w:hAnsi="Tahoma" w:cs="Tahoma"/>
          <w:color w:val="002848"/>
          <w:sz w:val="20"/>
          <w:szCs w:val="20"/>
          <w:lang w:eastAsia="en-GB"/>
        </w:rPr>
      </w:pPr>
    </w:p>
    <w:p w14:paraId="4FB932C4" w14:textId="77777777" w:rsidR="00562278" w:rsidRDefault="00562278" w:rsidP="00562278">
      <w:pPr>
        <w:pStyle w:val="ListParagraph"/>
        <w:ind w:left="0"/>
        <w:jc w:val="both"/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</w:pPr>
    </w:p>
    <w:p w14:paraId="470F15E7" w14:textId="77777777" w:rsidR="00562278" w:rsidRDefault="00562278" w:rsidP="00562278">
      <w:pPr>
        <w:pStyle w:val="ListParagraph"/>
        <w:ind w:left="0"/>
        <w:jc w:val="both"/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</w:pPr>
    </w:p>
    <w:p w14:paraId="3DCCC683" w14:textId="77777777" w:rsidR="00D359DA" w:rsidRDefault="00D359DA" w:rsidP="00A90798">
      <w:pPr>
        <w:pStyle w:val="ListParagraph"/>
        <w:ind w:left="0"/>
        <w:jc w:val="both"/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  <w:sectPr w:rsidR="00D359D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EBB983" w14:textId="77777777" w:rsidR="00D359DA" w:rsidRDefault="00D359DA" w:rsidP="00A90798">
      <w:pPr>
        <w:pStyle w:val="ListParagraph"/>
        <w:ind w:left="0"/>
        <w:jc w:val="both"/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</w:pPr>
    </w:p>
    <w:p w14:paraId="5B8EAFE7" w14:textId="77777777" w:rsidR="00D33D79" w:rsidRDefault="00D33D79" w:rsidP="434981E5">
      <w:pPr>
        <w:pStyle w:val="ListParagraph"/>
        <w:ind w:left="0"/>
        <w:jc w:val="both"/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</w:pPr>
    </w:p>
    <w:p w14:paraId="435E9DAD" w14:textId="0B15BA09" w:rsidR="00A90798" w:rsidRDefault="00562278" w:rsidP="434981E5">
      <w:pPr>
        <w:pStyle w:val="ListParagraph"/>
        <w:ind w:left="0"/>
        <w:jc w:val="both"/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</w:pPr>
      <w:r w:rsidRPr="434981E5"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  <w:t xml:space="preserve">Sobre DP </w:t>
      </w:r>
      <w:proofErr w:type="spellStart"/>
      <w:r w:rsidRPr="434981E5"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  <w:t>World</w:t>
      </w:r>
      <w:proofErr w:type="spellEnd"/>
    </w:p>
    <w:p w14:paraId="28A0D1D7" w14:textId="77777777" w:rsidR="00A90798" w:rsidRPr="00A90798" w:rsidRDefault="00A90798" w:rsidP="00A90798">
      <w:pPr>
        <w:pStyle w:val="ListParagraph"/>
        <w:ind w:left="0"/>
        <w:jc w:val="both"/>
        <w:rPr>
          <w:rFonts w:ascii="Tahoma" w:eastAsiaTheme="minorEastAsia" w:hAnsi="Tahoma" w:cs="Tahoma"/>
          <w:b/>
          <w:bCs/>
          <w:color w:val="808080" w:themeColor="background1" w:themeShade="80"/>
          <w:sz w:val="20"/>
          <w:szCs w:val="20"/>
          <w:lang w:val="es-ES" w:eastAsia="en-GB"/>
        </w:rPr>
      </w:pPr>
    </w:p>
    <w:p w14:paraId="1FD3CB58" w14:textId="170323FA" w:rsidR="00A90798" w:rsidRPr="00A9689B" w:rsidRDefault="00A90798" w:rsidP="434981E5">
      <w:pPr>
        <w:pStyle w:val="ListParagraph"/>
        <w:jc w:val="both"/>
        <w:rPr>
          <w:rFonts w:ascii="Tahoma" w:eastAsiaTheme="minorEastAsia" w:hAnsi="Tahoma" w:cs="Tahoma"/>
          <w:color w:val="808080" w:themeColor="background1" w:themeShade="80"/>
          <w:lang w:val="es-ES" w:eastAsia="en-GB"/>
        </w:rPr>
      </w:pPr>
      <w:r w:rsidRPr="434981E5">
        <w:rPr>
          <w:rFonts w:ascii="Tahoma" w:eastAsiaTheme="minorEastAsia" w:hAnsi="Tahoma" w:cs="Tahoma"/>
          <w:color w:val="808080" w:themeColor="background1" w:themeShade="80"/>
          <w:lang w:val="es-ES" w:eastAsia="en-GB"/>
        </w:rPr>
        <w:t>Somos el operador líder en soluciones logísticas inteligentes que posibilitan el flujo del comercio en todo el mundo. Nuestro amplio portafolio de productos y servicios cubre cada eslabón de la cadena de suministro, desde terminales marítimos y puertos secos hasta servicios marítimos y parques industriales, pasando por soluciones tecnológicas a medida de nuestros clientes. Facilitamos estos servicios a través de una red global interconectada</w:t>
      </w:r>
      <w:r w:rsidR="79779FD9" w:rsidRPr="434981E5">
        <w:rPr>
          <w:rFonts w:ascii="Tahoma" w:eastAsiaTheme="minorEastAsia" w:hAnsi="Tahoma" w:cs="Tahoma"/>
          <w:color w:val="808080" w:themeColor="background1" w:themeShade="80"/>
          <w:lang w:val="es-ES" w:eastAsia="en-GB"/>
        </w:rPr>
        <w:t xml:space="preserve"> con un portafolio de 150 operaciones en cerca de 60 países en los cinco continentes</w:t>
      </w:r>
      <w:r w:rsidRPr="434981E5">
        <w:rPr>
          <w:rFonts w:ascii="Tahoma" w:eastAsiaTheme="minorEastAsia" w:hAnsi="Tahoma" w:cs="Tahoma"/>
          <w:color w:val="808080" w:themeColor="background1" w:themeShade="80"/>
          <w:lang w:val="es-ES" w:eastAsia="en-GB"/>
        </w:rPr>
        <w:t>, con una presencia significativa en mercados desarrollados y con alto potencial de crecimiento.</w:t>
      </w:r>
    </w:p>
    <w:p w14:paraId="1B2CAC1D" w14:textId="2B635B9F" w:rsidR="00A90798" w:rsidRDefault="00A90798" w:rsidP="434981E5">
      <w:pPr>
        <w:pStyle w:val="ListParagraph"/>
        <w:jc w:val="both"/>
        <w:rPr>
          <w:rFonts w:ascii="Tahoma" w:eastAsiaTheme="minorEastAsia" w:hAnsi="Tahoma" w:cs="Tahoma"/>
          <w:color w:val="808080" w:themeColor="background1" w:themeShade="80"/>
          <w:lang w:val="es-ES" w:eastAsia="en-GB"/>
        </w:rPr>
      </w:pPr>
    </w:p>
    <w:p w14:paraId="1BD39068" w14:textId="77777777" w:rsidR="00A90798" w:rsidRPr="00A9689B" w:rsidRDefault="00A90798" w:rsidP="00A90798">
      <w:pPr>
        <w:pStyle w:val="ListParagraph"/>
        <w:jc w:val="both"/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</w:pPr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>Donde sea que operamos, nuestras actividades se ejercen con responsabilidad y sostenibilidad, esforzándonos por contribuir positivamente en las comunidades y sus economías. Nuestro diverso y dedicado equipo de más de 56,000 profesionales provenientes de 134 países están comprometidos para generar valor a nuestros clientes y asociados a través de un enfoque de beneficio mutuo - sea con gobiernos, navieras, agentes y otros actores de la cadena logística global – basado en una relación de confianza que la haga perdurable en el tiempo.</w:t>
      </w:r>
    </w:p>
    <w:p w14:paraId="1E579E48" w14:textId="77777777" w:rsidR="00A90798" w:rsidRDefault="00A90798" w:rsidP="00A90798">
      <w:pPr>
        <w:pStyle w:val="ListParagraph"/>
        <w:jc w:val="both"/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</w:pPr>
    </w:p>
    <w:p w14:paraId="225FE1FC" w14:textId="77777777" w:rsidR="00A90798" w:rsidRPr="00A9689B" w:rsidRDefault="00A90798" w:rsidP="00A90798">
      <w:pPr>
        <w:pStyle w:val="ListParagraph"/>
        <w:jc w:val="both"/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</w:pPr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 xml:space="preserve">En el Perú, estamos presentes desde el 2006 en el Muelle Sur del Puerto del Callao, el terminal portuario más importante del país; y recientemente como socios en la concesión del Puerto de Paita, y en la provisión de servicios logísticos integrados a través de DP </w:t>
      </w:r>
      <w:proofErr w:type="spellStart"/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>World</w:t>
      </w:r>
      <w:proofErr w:type="spellEnd"/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 xml:space="preserve"> </w:t>
      </w:r>
      <w:proofErr w:type="spellStart"/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>Logistics</w:t>
      </w:r>
      <w:proofErr w:type="spellEnd"/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 xml:space="preserve"> y Cosmos Agencia Marítima.</w:t>
      </w:r>
    </w:p>
    <w:p w14:paraId="536D525E" w14:textId="77777777" w:rsidR="00A90798" w:rsidRDefault="00A90798" w:rsidP="00A90798">
      <w:pPr>
        <w:pStyle w:val="ListParagraph"/>
        <w:jc w:val="both"/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</w:pPr>
    </w:p>
    <w:p w14:paraId="23FDC77A" w14:textId="77777777" w:rsidR="00A90798" w:rsidRPr="00A9689B" w:rsidRDefault="00A90798" w:rsidP="00A90798">
      <w:pPr>
        <w:pStyle w:val="ListParagraph"/>
        <w:jc w:val="both"/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</w:pPr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 xml:space="preserve">Nos anticipamos a los cambios para lo cual implementamos tecnología líder en la industria para crear las soluciones más </w:t>
      </w:r>
      <w:proofErr w:type="spellStart"/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>innovativas</w:t>
      </w:r>
      <w:proofErr w:type="spellEnd"/>
      <w:r w:rsidRPr="00A9689B">
        <w:rPr>
          <w:rFonts w:ascii="Tahoma" w:eastAsiaTheme="minorEastAsia" w:hAnsi="Tahoma" w:cs="Tahoma"/>
          <w:bCs/>
          <w:color w:val="808080" w:themeColor="background1" w:themeShade="80"/>
          <w:lang w:val="es-ES" w:eastAsia="en-GB"/>
        </w:rPr>
        <w:t xml:space="preserve"> y eficientes, asegurando un impacto positivo y sustentable en la economía, la sociedad y nuestro planeta.</w:t>
      </w:r>
    </w:p>
    <w:p w14:paraId="0E8D7815" w14:textId="77777777" w:rsidR="00562278" w:rsidRPr="00A356BB" w:rsidRDefault="00562278" w:rsidP="00A4707F">
      <w:pPr>
        <w:jc w:val="both"/>
        <w:rPr>
          <w:rFonts w:ascii="Tahoma" w:hAnsi="Tahoma" w:cs="Tahoma"/>
          <w:color w:val="1F4E79" w:themeColor="accent5" w:themeShade="80"/>
          <w:lang w:val="es-ES"/>
        </w:rPr>
      </w:pPr>
    </w:p>
    <w:p w14:paraId="3BEBB483" w14:textId="77777777" w:rsidR="0024256D" w:rsidRDefault="0024256D" w:rsidP="00A4707F">
      <w:pPr>
        <w:jc w:val="both"/>
        <w:rPr>
          <w:rFonts w:ascii="Tahoma" w:hAnsi="Tahoma" w:cs="Tahoma"/>
          <w:color w:val="1F4E79" w:themeColor="accent5" w:themeShade="80"/>
        </w:rPr>
      </w:pPr>
    </w:p>
    <w:p w14:paraId="3BE9CF66" w14:textId="77777777" w:rsidR="00992654" w:rsidRPr="00437FDF" w:rsidRDefault="00992654" w:rsidP="00992654">
      <w:pPr>
        <w:rPr>
          <w:rFonts w:ascii="Tahoma" w:hAnsi="Tahoma" w:cs="Tahoma"/>
          <w:color w:val="2F5496" w:themeColor="accent1" w:themeShade="BF"/>
        </w:rPr>
      </w:pPr>
    </w:p>
    <w:sectPr w:rsidR="00992654" w:rsidRPr="00437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0B865" w14:textId="77777777" w:rsidR="00267A4D" w:rsidRDefault="00267A4D" w:rsidP="00992654">
      <w:pPr>
        <w:spacing w:after="0" w:line="240" w:lineRule="auto"/>
      </w:pPr>
      <w:r>
        <w:separator/>
      </w:r>
    </w:p>
  </w:endnote>
  <w:endnote w:type="continuationSeparator" w:id="0">
    <w:p w14:paraId="152660A3" w14:textId="77777777" w:rsidR="00267A4D" w:rsidRDefault="00267A4D" w:rsidP="009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C5949" w14:textId="77777777" w:rsidR="00267A4D" w:rsidRDefault="00267A4D" w:rsidP="00992654">
      <w:pPr>
        <w:spacing w:after="0" w:line="240" w:lineRule="auto"/>
      </w:pPr>
      <w:r>
        <w:separator/>
      </w:r>
    </w:p>
  </w:footnote>
  <w:footnote w:type="continuationSeparator" w:id="0">
    <w:p w14:paraId="75A586F5" w14:textId="77777777" w:rsidR="00267A4D" w:rsidRDefault="00267A4D" w:rsidP="0099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7FC67" w14:textId="4B7CEB2F" w:rsidR="00A90798" w:rsidRDefault="00A90798" w:rsidP="00641D30">
    <w:pPr>
      <w:pStyle w:val="Header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1" locked="1" layoutInCell="1" allowOverlap="1" wp14:anchorId="125751B4" wp14:editId="4F2A82C5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995170" cy="638175"/>
          <wp:effectExtent l="0" t="0" r="508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P WORLD CALL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17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34981E5">
      <w:t>NOTA DE PRENSA</w:t>
    </w:r>
  </w:p>
  <w:p w14:paraId="453D0756" w14:textId="77777777" w:rsidR="00A90798" w:rsidRDefault="00A907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06BE"/>
    <w:multiLevelType w:val="hybridMultilevel"/>
    <w:tmpl w:val="BC802054"/>
    <w:lvl w:ilvl="0" w:tplc="9C32C690">
      <w:start w:val="1"/>
      <w:numFmt w:val="decimal"/>
      <w:lvlText w:val="%1."/>
      <w:lvlJc w:val="left"/>
      <w:pPr>
        <w:ind w:left="720" w:hanging="360"/>
      </w:pPr>
    </w:lvl>
    <w:lvl w:ilvl="1" w:tplc="FB8AA688">
      <w:start w:val="1"/>
      <w:numFmt w:val="lowerLetter"/>
      <w:lvlText w:val="%2."/>
      <w:lvlJc w:val="left"/>
      <w:pPr>
        <w:ind w:left="1440" w:hanging="360"/>
      </w:pPr>
    </w:lvl>
    <w:lvl w:ilvl="2" w:tplc="3F76E87C">
      <w:start w:val="1"/>
      <w:numFmt w:val="lowerRoman"/>
      <w:lvlText w:val="%3."/>
      <w:lvlJc w:val="right"/>
      <w:pPr>
        <w:ind w:left="2160" w:hanging="180"/>
      </w:pPr>
    </w:lvl>
    <w:lvl w:ilvl="3" w:tplc="617EABC8">
      <w:start w:val="1"/>
      <w:numFmt w:val="decimal"/>
      <w:lvlText w:val="%4."/>
      <w:lvlJc w:val="left"/>
      <w:pPr>
        <w:ind w:left="2880" w:hanging="360"/>
      </w:pPr>
    </w:lvl>
    <w:lvl w:ilvl="4" w:tplc="B76634CE">
      <w:start w:val="1"/>
      <w:numFmt w:val="lowerLetter"/>
      <w:lvlText w:val="%5."/>
      <w:lvlJc w:val="left"/>
      <w:pPr>
        <w:ind w:left="3600" w:hanging="360"/>
      </w:pPr>
    </w:lvl>
    <w:lvl w:ilvl="5" w:tplc="200CEA46">
      <w:start w:val="1"/>
      <w:numFmt w:val="lowerRoman"/>
      <w:lvlText w:val="%6."/>
      <w:lvlJc w:val="right"/>
      <w:pPr>
        <w:ind w:left="4320" w:hanging="180"/>
      </w:pPr>
    </w:lvl>
    <w:lvl w:ilvl="6" w:tplc="2BA830AA">
      <w:start w:val="1"/>
      <w:numFmt w:val="decimal"/>
      <w:lvlText w:val="%7."/>
      <w:lvlJc w:val="left"/>
      <w:pPr>
        <w:ind w:left="5040" w:hanging="360"/>
      </w:pPr>
    </w:lvl>
    <w:lvl w:ilvl="7" w:tplc="7780F4FE">
      <w:start w:val="1"/>
      <w:numFmt w:val="lowerLetter"/>
      <w:lvlText w:val="%8."/>
      <w:lvlJc w:val="left"/>
      <w:pPr>
        <w:ind w:left="5760" w:hanging="360"/>
      </w:pPr>
    </w:lvl>
    <w:lvl w:ilvl="8" w:tplc="653AE2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E0D"/>
    <w:multiLevelType w:val="hybridMultilevel"/>
    <w:tmpl w:val="33A8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1145"/>
    <w:multiLevelType w:val="multilevel"/>
    <w:tmpl w:val="6FA48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D10225"/>
    <w:multiLevelType w:val="hybridMultilevel"/>
    <w:tmpl w:val="E9BEA794"/>
    <w:lvl w:ilvl="0" w:tplc="3B3E26B0">
      <w:numFmt w:val="bullet"/>
      <w:lvlText w:val="-"/>
      <w:lvlJc w:val="left"/>
      <w:pPr>
        <w:ind w:left="229" w:hanging="360"/>
      </w:pPr>
      <w:rPr>
        <w:rFonts w:ascii="Segoe UI" w:eastAsia="Calibri" w:hAnsi="Segoe UI" w:cs="Segoe UI" w:hint="default"/>
      </w:rPr>
    </w:lvl>
    <w:lvl w:ilvl="1" w:tplc="280A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280A3A76"/>
    <w:multiLevelType w:val="hybridMultilevel"/>
    <w:tmpl w:val="F09AFCA2"/>
    <w:lvl w:ilvl="0" w:tplc="299E2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D0BBF"/>
    <w:multiLevelType w:val="hybridMultilevel"/>
    <w:tmpl w:val="BFB05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54"/>
    <w:rsid w:val="00004898"/>
    <w:rsid w:val="00011AE5"/>
    <w:rsid w:val="0007366D"/>
    <w:rsid w:val="00075FCF"/>
    <w:rsid w:val="000849BA"/>
    <w:rsid w:val="000859B1"/>
    <w:rsid w:val="000A2B0E"/>
    <w:rsid w:val="000A66C2"/>
    <w:rsid w:val="000D5501"/>
    <w:rsid w:val="000F2A55"/>
    <w:rsid w:val="001201BF"/>
    <w:rsid w:val="001A03C2"/>
    <w:rsid w:val="001A092E"/>
    <w:rsid w:val="001B1AE5"/>
    <w:rsid w:val="001B64FB"/>
    <w:rsid w:val="001E6670"/>
    <w:rsid w:val="002046A5"/>
    <w:rsid w:val="002078A4"/>
    <w:rsid w:val="00213D5E"/>
    <w:rsid w:val="002158A3"/>
    <w:rsid w:val="00241AF2"/>
    <w:rsid w:val="0024256D"/>
    <w:rsid w:val="0024337C"/>
    <w:rsid w:val="00253FA5"/>
    <w:rsid w:val="00267A4D"/>
    <w:rsid w:val="002A4F43"/>
    <w:rsid w:val="002C6E22"/>
    <w:rsid w:val="002D067F"/>
    <w:rsid w:val="002D1A1D"/>
    <w:rsid w:val="00302FFA"/>
    <w:rsid w:val="00317739"/>
    <w:rsid w:val="003356C3"/>
    <w:rsid w:val="00336E80"/>
    <w:rsid w:val="0034140A"/>
    <w:rsid w:val="00351758"/>
    <w:rsid w:val="00354569"/>
    <w:rsid w:val="00360E44"/>
    <w:rsid w:val="00367DCE"/>
    <w:rsid w:val="003A1046"/>
    <w:rsid w:val="003A74F9"/>
    <w:rsid w:val="003B44AA"/>
    <w:rsid w:val="003E6D28"/>
    <w:rsid w:val="003F5357"/>
    <w:rsid w:val="00423769"/>
    <w:rsid w:val="00425640"/>
    <w:rsid w:val="00437FDF"/>
    <w:rsid w:val="00467CB9"/>
    <w:rsid w:val="00494458"/>
    <w:rsid w:val="004C69D7"/>
    <w:rsid w:val="004F183C"/>
    <w:rsid w:val="004F4F8E"/>
    <w:rsid w:val="00516667"/>
    <w:rsid w:val="00544299"/>
    <w:rsid w:val="00545384"/>
    <w:rsid w:val="00562278"/>
    <w:rsid w:val="00566EAF"/>
    <w:rsid w:val="0057375B"/>
    <w:rsid w:val="005A0CB6"/>
    <w:rsid w:val="005B6CCB"/>
    <w:rsid w:val="006017D8"/>
    <w:rsid w:val="00602216"/>
    <w:rsid w:val="0060742F"/>
    <w:rsid w:val="00641D30"/>
    <w:rsid w:val="0065489C"/>
    <w:rsid w:val="0066520D"/>
    <w:rsid w:val="00685402"/>
    <w:rsid w:val="00691594"/>
    <w:rsid w:val="007315F5"/>
    <w:rsid w:val="00792A49"/>
    <w:rsid w:val="0079378B"/>
    <w:rsid w:val="007A7A0B"/>
    <w:rsid w:val="008261F8"/>
    <w:rsid w:val="00827AA7"/>
    <w:rsid w:val="00877FC3"/>
    <w:rsid w:val="008B2DAB"/>
    <w:rsid w:val="008C5A16"/>
    <w:rsid w:val="008E43B7"/>
    <w:rsid w:val="00927B13"/>
    <w:rsid w:val="00955C5E"/>
    <w:rsid w:val="00992654"/>
    <w:rsid w:val="0099291E"/>
    <w:rsid w:val="009955AC"/>
    <w:rsid w:val="009A52EF"/>
    <w:rsid w:val="009D1D66"/>
    <w:rsid w:val="009D4590"/>
    <w:rsid w:val="009E3CA2"/>
    <w:rsid w:val="009F4E13"/>
    <w:rsid w:val="00A060FE"/>
    <w:rsid w:val="00A17A81"/>
    <w:rsid w:val="00A33E7E"/>
    <w:rsid w:val="00A356BB"/>
    <w:rsid w:val="00A41393"/>
    <w:rsid w:val="00A4707F"/>
    <w:rsid w:val="00A7432F"/>
    <w:rsid w:val="00A74E8C"/>
    <w:rsid w:val="00A77AD4"/>
    <w:rsid w:val="00A90798"/>
    <w:rsid w:val="00A96471"/>
    <w:rsid w:val="00AA688B"/>
    <w:rsid w:val="00AD5579"/>
    <w:rsid w:val="00AE1783"/>
    <w:rsid w:val="00B17886"/>
    <w:rsid w:val="00B347FE"/>
    <w:rsid w:val="00B355A1"/>
    <w:rsid w:val="00B527E8"/>
    <w:rsid w:val="00B70D5E"/>
    <w:rsid w:val="00B8431D"/>
    <w:rsid w:val="00B9011A"/>
    <w:rsid w:val="00BD420D"/>
    <w:rsid w:val="00BF03F0"/>
    <w:rsid w:val="00C047B3"/>
    <w:rsid w:val="00C246BC"/>
    <w:rsid w:val="00C453CF"/>
    <w:rsid w:val="00C64563"/>
    <w:rsid w:val="00C65A9D"/>
    <w:rsid w:val="00C9594B"/>
    <w:rsid w:val="00CD597F"/>
    <w:rsid w:val="00CD7D90"/>
    <w:rsid w:val="00CE474B"/>
    <w:rsid w:val="00D05DF0"/>
    <w:rsid w:val="00D33639"/>
    <w:rsid w:val="00D33D79"/>
    <w:rsid w:val="00D359DA"/>
    <w:rsid w:val="00D5100F"/>
    <w:rsid w:val="00D81CAC"/>
    <w:rsid w:val="00D848A7"/>
    <w:rsid w:val="00D91D89"/>
    <w:rsid w:val="00DC2E8D"/>
    <w:rsid w:val="00DD0B31"/>
    <w:rsid w:val="00DD6F70"/>
    <w:rsid w:val="00DE4056"/>
    <w:rsid w:val="00DF6459"/>
    <w:rsid w:val="00E171EF"/>
    <w:rsid w:val="00E23B98"/>
    <w:rsid w:val="00E245D0"/>
    <w:rsid w:val="00E300B5"/>
    <w:rsid w:val="00E83410"/>
    <w:rsid w:val="00ED00B0"/>
    <w:rsid w:val="00ED3BAC"/>
    <w:rsid w:val="00EE1934"/>
    <w:rsid w:val="00EF7030"/>
    <w:rsid w:val="00F20950"/>
    <w:rsid w:val="00F527DB"/>
    <w:rsid w:val="00F6271E"/>
    <w:rsid w:val="00F81AD8"/>
    <w:rsid w:val="00FC203F"/>
    <w:rsid w:val="00FF0D3F"/>
    <w:rsid w:val="0146AE42"/>
    <w:rsid w:val="01B248C4"/>
    <w:rsid w:val="0223BDA8"/>
    <w:rsid w:val="034E1925"/>
    <w:rsid w:val="040B9AE2"/>
    <w:rsid w:val="04D1FBAC"/>
    <w:rsid w:val="0510EDB5"/>
    <w:rsid w:val="0617D50A"/>
    <w:rsid w:val="0647F8E3"/>
    <w:rsid w:val="064F019F"/>
    <w:rsid w:val="0715A328"/>
    <w:rsid w:val="0799D54A"/>
    <w:rsid w:val="07B691D6"/>
    <w:rsid w:val="08443F22"/>
    <w:rsid w:val="0946CF76"/>
    <w:rsid w:val="0A46940D"/>
    <w:rsid w:val="0AA7CF50"/>
    <w:rsid w:val="0AE487D5"/>
    <w:rsid w:val="0B2F37E9"/>
    <w:rsid w:val="0C70DA9C"/>
    <w:rsid w:val="0D20D590"/>
    <w:rsid w:val="0D2460AD"/>
    <w:rsid w:val="0E10B67A"/>
    <w:rsid w:val="0E983912"/>
    <w:rsid w:val="0F0720F3"/>
    <w:rsid w:val="1011AB9A"/>
    <w:rsid w:val="1195A95A"/>
    <w:rsid w:val="11D7791B"/>
    <w:rsid w:val="1214E063"/>
    <w:rsid w:val="140BD4AA"/>
    <w:rsid w:val="14CD4A1C"/>
    <w:rsid w:val="14E81F76"/>
    <w:rsid w:val="1617BCE2"/>
    <w:rsid w:val="162E49F6"/>
    <w:rsid w:val="16C98F5C"/>
    <w:rsid w:val="16E3BAD8"/>
    <w:rsid w:val="171F4961"/>
    <w:rsid w:val="17E9D230"/>
    <w:rsid w:val="181BF6FA"/>
    <w:rsid w:val="188190E5"/>
    <w:rsid w:val="194B9EFE"/>
    <w:rsid w:val="19D5A4EC"/>
    <w:rsid w:val="1A33DDFE"/>
    <w:rsid w:val="1A9A814D"/>
    <w:rsid w:val="1AA56219"/>
    <w:rsid w:val="1AB86039"/>
    <w:rsid w:val="1B3D968D"/>
    <w:rsid w:val="1BB092B0"/>
    <w:rsid w:val="1D1DD0FD"/>
    <w:rsid w:val="1DD08E78"/>
    <w:rsid w:val="1EB0DFF2"/>
    <w:rsid w:val="20611DEB"/>
    <w:rsid w:val="20F3C3FD"/>
    <w:rsid w:val="2127A1BD"/>
    <w:rsid w:val="2156B0E3"/>
    <w:rsid w:val="234DA0A0"/>
    <w:rsid w:val="235FD796"/>
    <w:rsid w:val="245B3ED3"/>
    <w:rsid w:val="251B340C"/>
    <w:rsid w:val="25F54102"/>
    <w:rsid w:val="26A0EAB8"/>
    <w:rsid w:val="26F5864A"/>
    <w:rsid w:val="2774AE37"/>
    <w:rsid w:val="2795210F"/>
    <w:rsid w:val="27ABB485"/>
    <w:rsid w:val="27BCB2B4"/>
    <w:rsid w:val="280B80CE"/>
    <w:rsid w:val="28A25D91"/>
    <w:rsid w:val="2AB55BA6"/>
    <w:rsid w:val="2B74D9D7"/>
    <w:rsid w:val="2C2DF046"/>
    <w:rsid w:val="2C354654"/>
    <w:rsid w:val="2C6F19C1"/>
    <w:rsid w:val="2DFA7CCF"/>
    <w:rsid w:val="2E03CB1B"/>
    <w:rsid w:val="30D43CA9"/>
    <w:rsid w:val="3441F668"/>
    <w:rsid w:val="3587FF42"/>
    <w:rsid w:val="3593A2EF"/>
    <w:rsid w:val="3684273A"/>
    <w:rsid w:val="37CADB5A"/>
    <w:rsid w:val="384BF8FE"/>
    <w:rsid w:val="38A93496"/>
    <w:rsid w:val="39B2CC60"/>
    <w:rsid w:val="3A73760B"/>
    <w:rsid w:val="3B0A8EFD"/>
    <w:rsid w:val="3B88FACB"/>
    <w:rsid w:val="3BE10829"/>
    <w:rsid w:val="3C8B31E3"/>
    <w:rsid w:val="3CD685F1"/>
    <w:rsid w:val="3D1F6A21"/>
    <w:rsid w:val="3D24CB2C"/>
    <w:rsid w:val="3D7E2CAF"/>
    <w:rsid w:val="3EA235D6"/>
    <w:rsid w:val="3EACDCEC"/>
    <w:rsid w:val="3FEC2298"/>
    <w:rsid w:val="40734604"/>
    <w:rsid w:val="41207970"/>
    <w:rsid w:val="420C4EDD"/>
    <w:rsid w:val="429F7C39"/>
    <w:rsid w:val="4302D457"/>
    <w:rsid w:val="434981E5"/>
    <w:rsid w:val="448F2080"/>
    <w:rsid w:val="44E3BB3B"/>
    <w:rsid w:val="454BDD25"/>
    <w:rsid w:val="456E4405"/>
    <w:rsid w:val="4760FED5"/>
    <w:rsid w:val="47DF3298"/>
    <w:rsid w:val="491DF4D2"/>
    <w:rsid w:val="4959E99D"/>
    <w:rsid w:val="49CEFD0E"/>
    <w:rsid w:val="4AAD2CA2"/>
    <w:rsid w:val="4ABFE788"/>
    <w:rsid w:val="4AF260DA"/>
    <w:rsid w:val="4CDDFA64"/>
    <w:rsid w:val="4CEFDB81"/>
    <w:rsid w:val="4D8291BD"/>
    <w:rsid w:val="4DF76453"/>
    <w:rsid w:val="4E6D18DD"/>
    <w:rsid w:val="50A7B205"/>
    <w:rsid w:val="50BCEE14"/>
    <w:rsid w:val="5163FF63"/>
    <w:rsid w:val="528BED62"/>
    <w:rsid w:val="52E8FAAF"/>
    <w:rsid w:val="532B9F51"/>
    <w:rsid w:val="53679335"/>
    <w:rsid w:val="53EC0E57"/>
    <w:rsid w:val="547F6A05"/>
    <w:rsid w:val="54FEDAA7"/>
    <w:rsid w:val="55BCD4FD"/>
    <w:rsid w:val="5620D783"/>
    <w:rsid w:val="56655F8F"/>
    <w:rsid w:val="569AAB08"/>
    <w:rsid w:val="56A70812"/>
    <w:rsid w:val="56C3A16A"/>
    <w:rsid w:val="56FEFFE2"/>
    <w:rsid w:val="57A34375"/>
    <w:rsid w:val="59C450F1"/>
    <w:rsid w:val="59EA60BF"/>
    <w:rsid w:val="59FE578B"/>
    <w:rsid w:val="59FF1AA8"/>
    <w:rsid w:val="5A4B745D"/>
    <w:rsid w:val="5B32C5BF"/>
    <w:rsid w:val="5BB7135F"/>
    <w:rsid w:val="5C9CDCB6"/>
    <w:rsid w:val="5CB9593A"/>
    <w:rsid w:val="5D6A778B"/>
    <w:rsid w:val="5F34C3B5"/>
    <w:rsid w:val="5F56F39B"/>
    <w:rsid w:val="6030A3A7"/>
    <w:rsid w:val="626B2399"/>
    <w:rsid w:val="629FE3B8"/>
    <w:rsid w:val="62EFE678"/>
    <w:rsid w:val="6389EC36"/>
    <w:rsid w:val="648F1B60"/>
    <w:rsid w:val="65B49893"/>
    <w:rsid w:val="66258464"/>
    <w:rsid w:val="67154C9C"/>
    <w:rsid w:val="675521D0"/>
    <w:rsid w:val="68D042EB"/>
    <w:rsid w:val="68E61149"/>
    <w:rsid w:val="699AC9F5"/>
    <w:rsid w:val="6A7C8A75"/>
    <w:rsid w:val="6A81E1AA"/>
    <w:rsid w:val="6B2F3D1F"/>
    <w:rsid w:val="6B4173FB"/>
    <w:rsid w:val="6B6D74EF"/>
    <w:rsid w:val="6DCA5DA1"/>
    <w:rsid w:val="6E289359"/>
    <w:rsid w:val="6E550FC8"/>
    <w:rsid w:val="6E5D2F24"/>
    <w:rsid w:val="6F2181B6"/>
    <w:rsid w:val="6FF0E029"/>
    <w:rsid w:val="708F57B7"/>
    <w:rsid w:val="70EF7FCE"/>
    <w:rsid w:val="71479966"/>
    <w:rsid w:val="7185A199"/>
    <w:rsid w:val="73051E4A"/>
    <w:rsid w:val="731A4460"/>
    <w:rsid w:val="73C814EE"/>
    <w:rsid w:val="751D49D2"/>
    <w:rsid w:val="75FBC2F1"/>
    <w:rsid w:val="766D3937"/>
    <w:rsid w:val="7768B17E"/>
    <w:rsid w:val="77AC8D49"/>
    <w:rsid w:val="7804B37A"/>
    <w:rsid w:val="7858E22A"/>
    <w:rsid w:val="79779FD9"/>
    <w:rsid w:val="7A7DE0F8"/>
    <w:rsid w:val="7A98100C"/>
    <w:rsid w:val="7AE96CAC"/>
    <w:rsid w:val="7C16EED2"/>
    <w:rsid w:val="7C6503F1"/>
    <w:rsid w:val="7D6DF07D"/>
    <w:rsid w:val="7D9E0CFD"/>
    <w:rsid w:val="7E02EDDE"/>
    <w:rsid w:val="7F09C0DE"/>
    <w:rsid w:val="7F0A55D8"/>
    <w:rsid w:val="7F96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4ACF5"/>
  <w15:docId w15:val="{4C0F05B6-0ACB-D543-AABC-766DA38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54"/>
  </w:style>
  <w:style w:type="paragraph" w:styleId="Footer">
    <w:name w:val="footer"/>
    <w:basedOn w:val="Normal"/>
    <w:link w:val="FooterChar"/>
    <w:uiPriority w:val="99"/>
    <w:unhideWhenUsed/>
    <w:rsid w:val="00992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54"/>
  </w:style>
  <w:style w:type="paragraph" w:styleId="ListParagraph">
    <w:name w:val="List Paragraph"/>
    <w:basedOn w:val="Normal"/>
    <w:link w:val="ListParagraphChar"/>
    <w:uiPriority w:val="34"/>
    <w:qFormat/>
    <w:rsid w:val="00A060FE"/>
    <w:pPr>
      <w:spacing w:line="25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A96471"/>
  </w:style>
  <w:style w:type="paragraph" w:styleId="NormalWeb">
    <w:name w:val="Normal (Web)"/>
    <w:basedOn w:val="Normal"/>
    <w:uiPriority w:val="99"/>
    <w:semiHidden/>
    <w:unhideWhenUsed/>
    <w:rsid w:val="0000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yperlink">
    <w:name w:val="Hyperlink"/>
    <w:basedOn w:val="DefaultParagraphFont"/>
    <w:uiPriority w:val="99"/>
    <w:unhideWhenUsed/>
    <w:rsid w:val="008C5A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34140A"/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622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A5AC-1365-48AC-B419-52BA3290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Rosmery Cueva</dc:creator>
  <cp:keywords/>
  <dc:description/>
  <cp:lastModifiedBy>Natalia Rubio</cp:lastModifiedBy>
  <cp:revision>2</cp:revision>
  <dcterms:created xsi:type="dcterms:W3CDTF">2021-07-27T17:27:00Z</dcterms:created>
  <dcterms:modified xsi:type="dcterms:W3CDTF">2021-07-27T17:27:00Z</dcterms:modified>
</cp:coreProperties>
</file>