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A94963" w14:textId="2A9E9538" w:rsidR="003F0440" w:rsidRPr="00270EDD" w:rsidRDefault="003F0440" w:rsidP="003F0440">
      <w:pPr>
        <w:jc w:val="center"/>
        <w:rPr>
          <w:rFonts w:ascii="Arial" w:hAnsi="Arial" w:cs="Arial"/>
          <w:b/>
          <w:bCs/>
          <w:sz w:val="32"/>
          <w:szCs w:val="28"/>
          <w:lang w:eastAsia="es-PE"/>
        </w:rPr>
      </w:pPr>
      <w:r w:rsidRPr="00270EDD">
        <w:rPr>
          <w:rFonts w:ascii="Arial" w:hAnsi="Arial" w:cs="Arial"/>
          <w:b/>
          <w:bCs/>
          <w:sz w:val="32"/>
          <w:szCs w:val="28"/>
          <w:lang w:eastAsia="es-PE"/>
        </w:rPr>
        <w:t xml:space="preserve">Ventas de Ferreycorp alcanzan </w:t>
      </w:r>
      <w:r>
        <w:rPr>
          <w:rFonts w:ascii="Arial" w:hAnsi="Arial" w:cs="Arial"/>
          <w:b/>
          <w:bCs/>
          <w:sz w:val="32"/>
          <w:szCs w:val="28"/>
          <w:lang w:eastAsia="es-PE"/>
        </w:rPr>
        <w:t xml:space="preserve">los </w:t>
      </w:r>
      <w:r w:rsidRPr="00270EDD">
        <w:rPr>
          <w:rFonts w:ascii="Arial" w:hAnsi="Arial" w:cs="Arial"/>
          <w:b/>
          <w:bCs/>
          <w:sz w:val="32"/>
          <w:szCs w:val="28"/>
          <w:lang w:eastAsia="es-PE"/>
        </w:rPr>
        <w:t xml:space="preserve">S/ </w:t>
      </w:r>
      <w:r>
        <w:rPr>
          <w:rFonts w:ascii="Arial" w:hAnsi="Arial" w:cs="Arial"/>
          <w:b/>
          <w:bCs/>
          <w:sz w:val="32"/>
          <w:szCs w:val="28"/>
          <w:lang w:eastAsia="es-PE"/>
        </w:rPr>
        <w:t>1,477</w:t>
      </w:r>
      <w:r w:rsidRPr="00270EDD">
        <w:rPr>
          <w:rFonts w:ascii="Arial" w:hAnsi="Arial" w:cs="Arial"/>
          <w:b/>
          <w:bCs/>
          <w:sz w:val="32"/>
          <w:szCs w:val="28"/>
          <w:lang w:eastAsia="es-PE"/>
        </w:rPr>
        <w:t xml:space="preserve"> millones y crecen </w:t>
      </w:r>
      <w:r>
        <w:rPr>
          <w:rFonts w:ascii="Arial" w:hAnsi="Arial" w:cs="Arial"/>
          <w:b/>
          <w:bCs/>
          <w:sz w:val="32"/>
          <w:szCs w:val="28"/>
          <w:lang w:eastAsia="es-PE"/>
        </w:rPr>
        <w:t>84</w:t>
      </w:r>
      <w:r w:rsidRPr="00270EDD">
        <w:rPr>
          <w:rFonts w:ascii="Arial" w:hAnsi="Arial" w:cs="Arial"/>
          <w:b/>
          <w:bCs/>
          <w:sz w:val="32"/>
          <w:szCs w:val="28"/>
          <w:lang w:eastAsia="es-PE"/>
        </w:rPr>
        <w:t xml:space="preserve">% en el </w:t>
      </w:r>
      <w:r>
        <w:rPr>
          <w:rFonts w:ascii="Arial" w:hAnsi="Arial" w:cs="Arial"/>
          <w:b/>
          <w:bCs/>
          <w:sz w:val="32"/>
          <w:szCs w:val="28"/>
          <w:lang w:eastAsia="es-PE"/>
        </w:rPr>
        <w:t>segundo trimestre</w:t>
      </w:r>
    </w:p>
    <w:p w14:paraId="6A37FA63" w14:textId="77777777" w:rsidR="001E75EA" w:rsidRDefault="001E75EA" w:rsidP="00E45A91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</w:p>
    <w:p w14:paraId="2DFAC25B" w14:textId="4B194FAC" w:rsidR="00E83EC4" w:rsidRDefault="00202CF1" w:rsidP="00E45A91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  <w:r>
        <w:rPr>
          <w:rFonts w:ascii="Arial" w:eastAsia="Times New Roman" w:hAnsi="Arial" w:cs="Arial"/>
          <w:color w:val="222222"/>
          <w:lang w:eastAsia="es-PE"/>
        </w:rPr>
        <w:br/>
      </w:r>
      <w:r w:rsidR="007F724E">
        <w:rPr>
          <w:rFonts w:ascii="Arial" w:eastAsia="Times New Roman" w:hAnsi="Arial" w:cs="Arial"/>
          <w:color w:val="222222"/>
          <w:lang w:eastAsia="es-PE"/>
        </w:rPr>
        <w:t xml:space="preserve">En </w:t>
      </w:r>
      <w:r w:rsidR="005715FB">
        <w:rPr>
          <w:rFonts w:ascii="Arial" w:eastAsia="Times New Roman" w:hAnsi="Arial" w:cs="Arial"/>
          <w:color w:val="222222"/>
          <w:lang w:eastAsia="es-PE"/>
        </w:rPr>
        <w:t>el segundo trimestre</w:t>
      </w:r>
      <w:r w:rsidR="007F724E">
        <w:rPr>
          <w:rFonts w:ascii="Arial" w:eastAsia="Times New Roman" w:hAnsi="Arial" w:cs="Arial"/>
          <w:color w:val="222222"/>
          <w:lang w:eastAsia="es-PE"/>
        </w:rPr>
        <w:t xml:space="preserve"> de 2021, </w:t>
      </w:r>
      <w:r w:rsidR="008F51EE">
        <w:rPr>
          <w:rFonts w:ascii="Arial" w:eastAsia="Times New Roman" w:hAnsi="Arial" w:cs="Arial"/>
          <w:color w:val="222222"/>
          <w:lang w:eastAsia="es-PE"/>
        </w:rPr>
        <w:t xml:space="preserve">las ventas de </w:t>
      </w:r>
      <w:r w:rsidR="007F724E">
        <w:rPr>
          <w:rFonts w:ascii="Arial" w:eastAsia="Times New Roman" w:hAnsi="Arial" w:cs="Arial"/>
          <w:color w:val="222222"/>
          <w:lang w:eastAsia="es-PE"/>
        </w:rPr>
        <w:t xml:space="preserve">Ferreycorp </w:t>
      </w:r>
      <w:r w:rsidR="0058525E">
        <w:rPr>
          <w:rFonts w:ascii="Arial" w:eastAsia="Times New Roman" w:hAnsi="Arial" w:cs="Arial"/>
          <w:color w:val="222222"/>
          <w:lang w:eastAsia="es-PE"/>
        </w:rPr>
        <w:t xml:space="preserve">y sus subsidiarias </w:t>
      </w:r>
      <w:r w:rsidR="002A257A">
        <w:rPr>
          <w:rFonts w:ascii="Arial" w:eastAsia="Times New Roman" w:hAnsi="Arial" w:cs="Arial"/>
          <w:color w:val="222222"/>
          <w:lang w:eastAsia="es-PE"/>
        </w:rPr>
        <w:t xml:space="preserve">alcanzaron </w:t>
      </w:r>
      <w:r w:rsidR="00EB5610" w:rsidRPr="00543B91">
        <w:rPr>
          <w:rFonts w:ascii="Arial" w:eastAsia="Times New Roman" w:hAnsi="Arial" w:cs="Arial"/>
          <w:color w:val="222222"/>
          <w:lang w:eastAsia="es-PE"/>
        </w:rPr>
        <w:t>S</w:t>
      </w:r>
      <w:r w:rsidR="005715FB">
        <w:rPr>
          <w:rFonts w:ascii="Arial" w:eastAsia="Times New Roman" w:hAnsi="Arial" w:cs="Arial"/>
          <w:color w:val="222222"/>
          <w:lang w:eastAsia="es-PE"/>
        </w:rPr>
        <w:t xml:space="preserve">/ </w:t>
      </w:r>
      <w:r w:rsidR="005715FB" w:rsidRPr="005715FB">
        <w:rPr>
          <w:rFonts w:ascii="Arial" w:eastAsia="Times New Roman" w:hAnsi="Arial" w:cs="Arial"/>
          <w:color w:val="222222"/>
          <w:lang w:eastAsia="es-PE"/>
        </w:rPr>
        <w:t>1,477 millones</w:t>
      </w:r>
      <w:r w:rsidR="00EB5610" w:rsidRPr="00543B91">
        <w:rPr>
          <w:rFonts w:ascii="Arial" w:eastAsia="Times New Roman" w:hAnsi="Arial" w:cs="Arial"/>
          <w:color w:val="222222"/>
          <w:lang w:eastAsia="es-PE"/>
        </w:rPr>
        <w:t>, superior</w:t>
      </w:r>
      <w:r w:rsidR="008F51EE">
        <w:rPr>
          <w:rFonts w:ascii="Arial" w:eastAsia="Times New Roman" w:hAnsi="Arial" w:cs="Arial"/>
          <w:color w:val="222222"/>
          <w:lang w:eastAsia="es-PE"/>
        </w:rPr>
        <w:t>es</w:t>
      </w:r>
      <w:r w:rsidR="00EB5610" w:rsidRPr="00543B91">
        <w:rPr>
          <w:rFonts w:ascii="Arial" w:eastAsia="Times New Roman" w:hAnsi="Arial" w:cs="Arial"/>
          <w:color w:val="222222"/>
          <w:lang w:eastAsia="es-PE"/>
        </w:rPr>
        <w:t xml:space="preserve"> en </w:t>
      </w:r>
      <w:r w:rsidR="005715FB">
        <w:rPr>
          <w:rFonts w:ascii="Arial" w:eastAsia="Times New Roman" w:hAnsi="Arial" w:cs="Arial"/>
          <w:color w:val="222222"/>
          <w:lang w:eastAsia="es-PE"/>
        </w:rPr>
        <w:t>84</w:t>
      </w:r>
      <w:r w:rsidR="00EB5610" w:rsidRPr="00543B91">
        <w:rPr>
          <w:rFonts w:ascii="Arial" w:eastAsia="Times New Roman" w:hAnsi="Arial" w:cs="Arial"/>
          <w:color w:val="222222"/>
          <w:lang w:eastAsia="es-PE"/>
        </w:rPr>
        <w:t xml:space="preserve">% </w:t>
      </w:r>
      <w:r w:rsidR="008F51EE">
        <w:rPr>
          <w:rFonts w:ascii="Arial" w:eastAsia="Times New Roman" w:hAnsi="Arial" w:cs="Arial"/>
          <w:color w:val="222222"/>
          <w:lang w:eastAsia="es-PE"/>
        </w:rPr>
        <w:t>a las</w:t>
      </w:r>
      <w:r w:rsidR="00E83EC4">
        <w:rPr>
          <w:rFonts w:ascii="Arial" w:eastAsia="Times New Roman" w:hAnsi="Arial" w:cs="Arial"/>
          <w:color w:val="222222"/>
          <w:lang w:eastAsia="es-PE"/>
        </w:rPr>
        <w:t xml:space="preserve"> de similar</w:t>
      </w:r>
      <w:r w:rsidR="00EB5610" w:rsidRPr="00543B91">
        <w:rPr>
          <w:rFonts w:ascii="Arial" w:eastAsia="Times New Roman" w:hAnsi="Arial" w:cs="Arial"/>
          <w:color w:val="222222"/>
          <w:lang w:eastAsia="es-PE"/>
        </w:rPr>
        <w:t xml:space="preserve"> periodo de 2020</w:t>
      </w:r>
      <w:r w:rsidR="008F51EE">
        <w:rPr>
          <w:rFonts w:ascii="Arial" w:eastAsia="Times New Roman" w:hAnsi="Arial" w:cs="Arial"/>
          <w:color w:val="222222"/>
          <w:lang w:eastAsia="es-PE"/>
        </w:rPr>
        <w:t>,</w:t>
      </w:r>
      <w:r w:rsidR="00EB5610" w:rsidRPr="00543B91">
        <w:rPr>
          <w:rFonts w:ascii="Arial" w:eastAsia="Times New Roman" w:hAnsi="Arial" w:cs="Arial"/>
          <w:color w:val="222222"/>
          <w:lang w:eastAsia="es-PE"/>
        </w:rPr>
        <w:t xml:space="preserve"> y</w:t>
      </w:r>
      <w:r w:rsidR="008F51EE">
        <w:rPr>
          <w:rFonts w:ascii="Arial" w:eastAsia="Times New Roman" w:hAnsi="Arial" w:cs="Arial"/>
          <w:color w:val="222222"/>
          <w:lang w:eastAsia="es-PE"/>
        </w:rPr>
        <w:t xml:space="preserve"> </w:t>
      </w:r>
      <w:r w:rsidR="005715FB">
        <w:rPr>
          <w:rFonts w:ascii="Arial" w:eastAsia="Times New Roman" w:hAnsi="Arial" w:cs="Arial"/>
          <w:color w:val="222222"/>
          <w:lang w:eastAsia="es-PE"/>
        </w:rPr>
        <w:t>en 8</w:t>
      </w:r>
      <w:r w:rsidR="008F51EE">
        <w:rPr>
          <w:rFonts w:ascii="Arial" w:eastAsia="Times New Roman" w:hAnsi="Arial" w:cs="Arial"/>
          <w:color w:val="222222"/>
          <w:lang w:eastAsia="es-PE"/>
        </w:rPr>
        <w:t xml:space="preserve">% frente al mismo trimestre de </w:t>
      </w:r>
      <w:r w:rsidR="00EB5610" w:rsidRPr="00543B91">
        <w:rPr>
          <w:rFonts w:ascii="Arial" w:eastAsia="Times New Roman" w:hAnsi="Arial" w:cs="Arial"/>
          <w:color w:val="222222"/>
          <w:lang w:eastAsia="es-PE"/>
        </w:rPr>
        <w:t>2019</w:t>
      </w:r>
      <w:r w:rsidR="00E83EC4">
        <w:rPr>
          <w:rFonts w:ascii="Arial" w:eastAsia="Times New Roman" w:hAnsi="Arial" w:cs="Arial"/>
          <w:color w:val="222222"/>
          <w:lang w:eastAsia="es-PE"/>
        </w:rPr>
        <w:t xml:space="preserve">, </w:t>
      </w:r>
      <w:r w:rsidR="002F2614">
        <w:rPr>
          <w:rFonts w:ascii="Arial" w:eastAsia="Times New Roman" w:hAnsi="Arial" w:cs="Arial"/>
          <w:color w:val="222222"/>
          <w:lang w:eastAsia="es-PE"/>
        </w:rPr>
        <w:t>el cual</w:t>
      </w:r>
      <w:r w:rsidR="00E45A91">
        <w:rPr>
          <w:rFonts w:ascii="Arial" w:eastAsia="Times New Roman" w:hAnsi="Arial" w:cs="Arial"/>
          <w:color w:val="222222"/>
          <w:lang w:eastAsia="es-PE"/>
        </w:rPr>
        <w:t xml:space="preserve"> no fuera</w:t>
      </w:r>
      <w:r w:rsidR="00E83EC4">
        <w:rPr>
          <w:rFonts w:ascii="Arial" w:eastAsia="Times New Roman" w:hAnsi="Arial" w:cs="Arial"/>
          <w:color w:val="222222"/>
          <w:lang w:eastAsia="es-PE"/>
        </w:rPr>
        <w:t xml:space="preserve"> impactado por la coyuntura de pandemia</w:t>
      </w:r>
      <w:r w:rsidR="008F51EE">
        <w:rPr>
          <w:rFonts w:ascii="Arial" w:eastAsia="Times New Roman" w:hAnsi="Arial" w:cs="Arial"/>
          <w:color w:val="222222"/>
          <w:lang w:eastAsia="es-PE"/>
        </w:rPr>
        <w:t>.</w:t>
      </w:r>
    </w:p>
    <w:p w14:paraId="00A8D8CE" w14:textId="77777777" w:rsidR="00E45A91" w:rsidRDefault="00E45A91" w:rsidP="00E45A91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</w:p>
    <w:p w14:paraId="555F1A2A" w14:textId="20C8E883" w:rsidR="00804CE4" w:rsidRPr="00804CE4" w:rsidRDefault="005715FB" w:rsidP="00804CE4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  <w:r>
        <w:rPr>
          <w:rFonts w:ascii="Arial" w:eastAsia="Times New Roman" w:hAnsi="Arial" w:cs="Arial"/>
          <w:color w:val="222222"/>
          <w:lang w:eastAsia="es-PE"/>
        </w:rPr>
        <w:t>En</w:t>
      </w:r>
      <w:r w:rsidR="00804CE4">
        <w:rPr>
          <w:rFonts w:ascii="Arial" w:eastAsia="Times New Roman" w:hAnsi="Arial" w:cs="Arial"/>
          <w:color w:val="222222"/>
          <w:lang w:eastAsia="es-PE"/>
        </w:rPr>
        <w:t xml:space="preserve"> est</w:t>
      </w:r>
      <w:r>
        <w:rPr>
          <w:rFonts w:ascii="Arial" w:eastAsia="Times New Roman" w:hAnsi="Arial" w:cs="Arial"/>
          <w:color w:val="222222"/>
          <w:lang w:eastAsia="es-PE"/>
        </w:rPr>
        <w:t>e resultado se aprecian señales de reactivación económica</w:t>
      </w:r>
      <w:r w:rsidR="00804CE4">
        <w:rPr>
          <w:rFonts w:ascii="Arial" w:eastAsia="Times New Roman" w:hAnsi="Arial" w:cs="Arial"/>
          <w:color w:val="222222"/>
          <w:lang w:eastAsia="es-PE"/>
        </w:rPr>
        <w:t>,</w:t>
      </w:r>
      <w:r>
        <w:rPr>
          <w:rFonts w:ascii="Arial" w:eastAsia="Times New Roman" w:hAnsi="Arial" w:cs="Arial"/>
          <w:color w:val="222222"/>
          <w:lang w:eastAsia="es-PE"/>
        </w:rPr>
        <w:t xml:space="preserve"> reflejadas en el </w:t>
      </w:r>
      <w:r w:rsidR="00EB5610" w:rsidRPr="00543B91">
        <w:rPr>
          <w:rFonts w:ascii="Arial" w:eastAsia="Times New Roman" w:hAnsi="Arial" w:cs="Arial"/>
          <w:color w:val="222222"/>
          <w:lang w:eastAsia="es-PE"/>
        </w:rPr>
        <w:t>incremento de</w:t>
      </w:r>
      <w:r>
        <w:rPr>
          <w:rFonts w:ascii="Arial" w:eastAsia="Times New Roman" w:hAnsi="Arial" w:cs="Arial"/>
          <w:color w:val="222222"/>
          <w:lang w:eastAsia="es-PE"/>
        </w:rPr>
        <w:t xml:space="preserve"> diversas líneas de venta</w:t>
      </w:r>
      <w:r w:rsidRPr="005715FB">
        <w:rPr>
          <w:rFonts w:ascii="Arial" w:eastAsia="Times New Roman" w:hAnsi="Arial" w:cs="Arial"/>
          <w:color w:val="222222"/>
          <w:lang w:eastAsia="es-PE"/>
        </w:rPr>
        <w:t xml:space="preserve"> </w:t>
      </w:r>
      <w:r>
        <w:rPr>
          <w:rFonts w:ascii="Arial" w:eastAsia="Times New Roman" w:hAnsi="Arial" w:cs="Arial"/>
          <w:color w:val="222222"/>
          <w:lang w:eastAsia="es-PE"/>
        </w:rPr>
        <w:t xml:space="preserve">frente al segundo trimestre de 2020 y al mismo periodo de 2019. Se trata de las líneas </w:t>
      </w:r>
      <w:r w:rsidR="00E45A91">
        <w:rPr>
          <w:rFonts w:ascii="Arial" w:eastAsia="Times New Roman" w:hAnsi="Arial" w:cs="Arial"/>
          <w:color w:val="222222"/>
          <w:lang w:eastAsia="es-PE"/>
        </w:rPr>
        <w:t xml:space="preserve">de </w:t>
      </w:r>
      <w:r w:rsidR="00E83EC4" w:rsidRPr="00E83EC4">
        <w:rPr>
          <w:rFonts w:ascii="Arial" w:eastAsia="Times New Roman" w:hAnsi="Arial" w:cs="Arial"/>
          <w:color w:val="222222"/>
          <w:lang w:eastAsia="es-PE"/>
        </w:rPr>
        <w:t>equipos Caterpillar</w:t>
      </w:r>
      <w:r w:rsidR="00E45A91">
        <w:rPr>
          <w:rFonts w:ascii="Arial" w:eastAsia="Times New Roman" w:hAnsi="Arial" w:cs="Arial"/>
          <w:color w:val="222222"/>
          <w:lang w:eastAsia="es-PE"/>
        </w:rPr>
        <w:t>;</w:t>
      </w:r>
      <w:r w:rsidR="00E83EC4" w:rsidRPr="00E83EC4">
        <w:rPr>
          <w:rFonts w:ascii="Arial" w:eastAsia="Times New Roman" w:hAnsi="Arial" w:cs="Arial"/>
          <w:color w:val="222222"/>
          <w:lang w:eastAsia="es-PE"/>
        </w:rPr>
        <w:t xml:space="preserve"> de servicios logísticos</w:t>
      </w:r>
      <w:r>
        <w:rPr>
          <w:rFonts w:ascii="Arial" w:eastAsia="Times New Roman" w:hAnsi="Arial" w:cs="Arial"/>
          <w:color w:val="222222"/>
          <w:lang w:eastAsia="es-PE"/>
        </w:rPr>
        <w:t>,</w:t>
      </w:r>
      <w:r w:rsidR="00E83EC4" w:rsidRPr="00E83EC4">
        <w:rPr>
          <w:rFonts w:ascii="Arial" w:eastAsia="Times New Roman" w:hAnsi="Arial" w:cs="Arial"/>
          <w:color w:val="222222"/>
          <w:lang w:eastAsia="es-PE"/>
        </w:rPr>
        <w:t xml:space="preserve"> lubricantes e implementos de seg</w:t>
      </w:r>
      <w:r>
        <w:rPr>
          <w:rFonts w:ascii="Arial" w:eastAsia="Times New Roman" w:hAnsi="Arial" w:cs="Arial"/>
          <w:color w:val="222222"/>
          <w:lang w:eastAsia="es-PE"/>
        </w:rPr>
        <w:t>uridad; y de repuestos y servicios</w:t>
      </w:r>
      <w:r w:rsidR="00804CE4">
        <w:rPr>
          <w:rFonts w:ascii="Arial" w:eastAsia="Times New Roman" w:hAnsi="Arial" w:cs="Arial"/>
          <w:color w:val="222222"/>
          <w:lang w:eastAsia="es-PE"/>
        </w:rPr>
        <w:t>. Esta última mantuvo s</w:t>
      </w:r>
      <w:r w:rsidR="00804CE4" w:rsidRPr="00804CE4">
        <w:rPr>
          <w:rFonts w:ascii="Arial" w:eastAsia="Times New Roman" w:hAnsi="Arial" w:cs="Arial"/>
          <w:color w:val="222222"/>
          <w:lang w:eastAsia="es-PE"/>
        </w:rPr>
        <w:t>u mayor participación en la composición de la venta de Ferreycorp</w:t>
      </w:r>
      <w:r w:rsidR="00804CE4">
        <w:rPr>
          <w:rFonts w:ascii="Arial" w:eastAsia="Times New Roman" w:hAnsi="Arial" w:cs="Arial"/>
          <w:color w:val="222222"/>
          <w:lang w:eastAsia="es-PE"/>
        </w:rPr>
        <w:t>, con un 53% del total.</w:t>
      </w:r>
    </w:p>
    <w:p w14:paraId="5F8BFBD8" w14:textId="18496909" w:rsidR="005715FB" w:rsidRDefault="005715FB" w:rsidP="00E45A91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</w:p>
    <w:p w14:paraId="5ACF8171" w14:textId="68C4FD3D" w:rsidR="00A3606B" w:rsidRDefault="00B70EE5" w:rsidP="005715FB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  <w:r>
        <w:rPr>
          <w:rFonts w:ascii="Arial" w:eastAsia="Times New Roman" w:hAnsi="Arial" w:cs="Arial"/>
          <w:color w:val="222222"/>
          <w:lang w:eastAsia="es-PE"/>
        </w:rPr>
        <w:t xml:space="preserve">En </w:t>
      </w:r>
      <w:r w:rsidR="005715FB">
        <w:rPr>
          <w:rFonts w:ascii="Arial" w:eastAsia="Times New Roman" w:hAnsi="Arial" w:cs="Arial"/>
          <w:color w:val="222222"/>
          <w:lang w:eastAsia="es-PE"/>
        </w:rPr>
        <w:t>el segundo trimestre de este</w:t>
      </w:r>
      <w:r w:rsidR="00E45A91">
        <w:rPr>
          <w:rFonts w:ascii="Arial" w:eastAsia="Times New Roman" w:hAnsi="Arial" w:cs="Arial"/>
          <w:color w:val="222222"/>
          <w:lang w:eastAsia="es-PE"/>
        </w:rPr>
        <w:t xml:space="preserve"> año, l</w:t>
      </w:r>
      <w:r w:rsidR="00EB5610" w:rsidRPr="00543B91">
        <w:rPr>
          <w:rFonts w:ascii="Arial" w:eastAsia="Times New Roman" w:hAnsi="Arial" w:cs="Arial"/>
          <w:color w:val="222222"/>
          <w:lang w:eastAsia="es-PE"/>
        </w:rPr>
        <w:t xml:space="preserve">a utilidad neta ascendió a S/ </w:t>
      </w:r>
      <w:r w:rsidR="00F46C67">
        <w:rPr>
          <w:rFonts w:ascii="Arial" w:eastAsia="Times New Roman" w:hAnsi="Arial" w:cs="Arial"/>
          <w:color w:val="222222"/>
          <w:lang w:eastAsia="es-PE"/>
        </w:rPr>
        <w:t>86</w:t>
      </w:r>
      <w:r w:rsidR="00EB5610" w:rsidRPr="00543B91">
        <w:rPr>
          <w:rFonts w:ascii="Arial" w:eastAsia="Times New Roman" w:hAnsi="Arial" w:cs="Arial"/>
          <w:color w:val="222222"/>
          <w:lang w:eastAsia="es-PE"/>
        </w:rPr>
        <w:t xml:space="preserve"> millones, </w:t>
      </w:r>
      <w:r w:rsidR="00E45A91">
        <w:rPr>
          <w:rFonts w:ascii="Arial" w:eastAsia="Times New Roman" w:hAnsi="Arial" w:cs="Arial"/>
          <w:color w:val="222222"/>
          <w:lang w:eastAsia="es-PE"/>
        </w:rPr>
        <w:t xml:space="preserve">frente a la </w:t>
      </w:r>
      <w:r w:rsidR="00F46C67" w:rsidRPr="00144374">
        <w:rPr>
          <w:rFonts w:ascii="Arial" w:eastAsia="Times New Roman" w:hAnsi="Arial" w:cs="Arial"/>
          <w:color w:val="222222"/>
          <w:lang w:eastAsia="es-PE"/>
        </w:rPr>
        <w:t>pérdida neta de S/ 4</w:t>
      </w:r>
      <w:r w:rsidR="00E45A91" w:rsidRPr="00144374">
        <w:rPr>
          <w:rFonts w:ascii="Arial" w:eastAsia="Times New Roman" w:hAnsi="Arial" w:cs="Arial"/>
          <w:color w:val="222222"/>
          <w:lang w:eastAsia="es-PE"/>
        </w:rPr>
        <w:t xml:space="preserve"> millones en </w:t>
      </w:r>
      <w:r w:rsidR="00B21EA7" w:rsidRPr="00144374">
        <w:rPr>
          <w:rFonts w:ascii="Arial" w:eastAsia="Times New Roman" w:hAnsi="Arial" w:cs="Arial"/>
          <w:color w:val="222222"/>
          <w:lang w:eastAsia="es-PE"/>
        </w:rPr>
        <w:t xml:space="preserve">el </w:t>
      </w:r>
      <w:r w:rsidR="00F46C67" w:rsidRPr="00144374">
        <w:rPr>
          <w:rFonts w:ascii="Arial" w:eastAsia="Times New Roman" w:hAnsi="Arial" w:cs="Arial"/>
          <w:color w:val="222222"/>
          <w:lang w:eastAsia="es-PE"/>
        </w:rPr>
        <w:t xml:space="preserve">segundo </w:t>
      </w:r>
      <w:r w:rsidR="005715FB" w:rsidRPr="00144374">
        <w:rPr>
          <w:rFonts w:ascii="Arial" w:eastAsia="Times New Roman" w:hAnsi="Arial" w:cs="Arial"/>
          <w:color w:val="222222"/>
          <w:lang w:eastAsia="es-PE"/>
        </w:rPr>
        <w:t>trimestre</w:t>
      </w:r>
      <w:r w:rsidR="00B21EA7" w:rsidRPr="00144374">
        <w:rPr>
          <w:rFonts w:ascii="Arial" w:eastAsia="Times New Roman" w:hAnsi="Arial" w:cs="Arial"/>
          <w:color w:val="222222"/>
          <w:lang w:eastAsia="es-PE"/>
        </w:rPr>
        <w:t xml:space="preserve"> de 2020 y a</w:t>
      </w:r>
      <w:r w:rsidR="00E45A91" w:rsidRPr="00144374">
        <w:rPr>
          <w:rFonts w:ascii="Arial" w:eastAsia="Times New Roman" w:hAnsi="Arial" w:cs="Arial"/>
          <w:color w:val="222222"/>
          <w:lang w:eastAsia="es-PE"/>
        </w:rPr>
        <w:t xml:space="preserve"> la</w:t>
      </w:r>
      <w:r w:rsidR="00EB5610" w:rsidRPr="00144374">
        <w:rPr>
          <w:rFonts w:ascii="Arial" w:eastAsia="Times New Roman" w:hAnsi="Arial" w:cs="Arial"/>
          <w:color w:val="222222"/>
          <w:lang w:eastAsia="es-PE"/>
        </w:rPr>
        <w:t xml:space="preserve"> utilidad neta de S/ </w:t>
      </w:r>
      <w:r w:rsidR="00F46C67" w:rsidRPr="00144374">
        <w:rPr>
          <w:rFonts w:ascii="Arial" w:eastAsia="Times New Roman" w:hAnsi="Arial" w:cs="Arial"/>
          <w:color w:val="222222"/>
          <w:lang w:eastAsia="es-PE"/>
        </w:rPr>
        <w:t>81</w:t>
      </w:r>
      <w:r w:rsidR="00EB5610" w:rsidRPr="00144374">
        <w:rPr>
          <w:rFonts w:ascii="Arial" w:eastAsia="Times New Roman" w:hAnsi="Arial" w:cs="Arial"/>
          <w:color w:val="222222"/>
          <w:lang w:eastAsia="es-PE"/>
        </w:rPr>
        <w:t xml:space="preserve"> millones</w:t>
      </w:r>
      <w:r w:rsidR="00E45A91" w:rsidRPr="00144374">
        <w:rPr>
          <w:rFonts w:ascii="Arial" w:eastAsia="Times New Roman" w:hAnsi="Arial" w:cs="Arial"/>
          <w:color w:val="222222"/>
          <w:lang w:eastAsia="es-PE"/>
        </w:rPr>
        <w:t xml:space="preserve"> en </w:t>
      </w:r>
      <w:r w:rsidR="00A3606B" w:rsidRPr="00144374">
        <w:rPr>
          <w:rFonts w:ascii="Arial" w:eastAsia="Times New Roman" w:hAnsi="Arial" w:cs="Arial"/>
          <w:color w:val="222222"/>
          <w:lang w:eastAsia="es-PE"/>
        </w:rPr>
        <w:t>similar trimestre</w:t>
      </w:r>
      <w:r w:rsidRPr="00144374">
        <w:rPr>
          <w:rFonts w:ascii="Arial" w:eastAsia="Times New Roman" w:hAnsi="Arial" w:cs="Arial"/>
          <w:color w:val="222222"/>
          <w:lang w:eastAsia="es-PE"/>
        </w:rPr>
        <w:t xml:space="preserve"> de</w:t>
      </w:r>
      <w:r w:rsidR="00E45A91" w:rsidRPr="00144374">
        <w:rPr>
          <w:rFonts w:ascii="Arial" w:eastAsia="Times New Roman" w:hAnsi="Arial" w:cs="Arial"/>
          <w:color w:val="222222"/>
          <w:lang w:eastAsia="es-PE"/>
        </w:rPr>
        <w:t xml:space="preserve"> 2019</w:t>
      </w:r>
      <w:r w:rsidR="00EB5610" w:rsidRPr="00144374">
        <w:rPr>
          <w:rFonts w:ascii="Arial" w:eastAsia="Times New Roman" w:hAnsi="Arial" w:cs="Arial"/>
          <w:color w:val="222222"/>
          <w:lang w:eastAsia="es-PE"/>
        </w:rPr>
        <w:t>.</w:t>
      </w:r>
      <w:r w:rsidR="00B21EA7" w:rsidRPr="00144374">
        <w:rPr>
          <w:rFonts w:ascii="Arial" w:eastAsia="Times New Roman" w:hAnsi="Arial" w:cs="Arial"/>
          <w:color w:val="222222"/>
          <w:lang w:eastAsia="es-PE"/>
        </w:rPr>
        <w:t xml:space="preserve"> </w:t>
      </w:r>
      <w:r w:rsidR="005D20AF" w:rsidRPr="00144374">
        <w:rPr>
          <w:rFonts w:ascii="Arial" w:eastAsia="Times New Roman" w:hAnsi="Arial" w:cs="Arial"/>
          <w:color w:val="222222"/>
          <w:lang w:eastAsia="es-PE"/>
        </w:rPr>
        <w:t>La utilidad neta</w:t>
      </w:r>
      <w:r w:rsidR="005715FB" w:rsidRPr="00144374">
        <w:rPr>
          <w:rFonts w:ascii="Arial" w:eastAsia="Times New Roman" w:hAnsi="Arial" w:cs="Arial"/>
          <w:color w:val="222222"/>
          <w:lang w:eastAsia="es-PE"/>
        </w:rPr>
        <w:t xml:space="preserve"> del segundo trimestre</w:t>
      </w:r>
      <w:r w:rsidR="001425CE" w:rsidRPr="00144374">
        <w:rPr>
          <w:rFonts w:ascii="Arial" w:eastAsia="Times New Roman" w:hAnsi="Arial" w:cs="Arial"/>
          <w:color w:val="222222"/>
          <w:lang w:eastAsia="es-PE"/>
        </w:rPr>
        <w:t xml:space="preserve"> del 2021 es superior en </w:t>
      </w:r>
      <w:r w:rsidR="00146200" w:rsidRPr="00144374">
        <w:rPr>
          <w:rFonts w:ascii="Arial" w:eastAsia="Times New Roman" w:hAnsi="Arial" w:cs="Arial"/>
          <w:color w:val="222222"/>
          <w:lang w:eastAsia="es-PE"/>
        </w:rPr>
        <w:t>29</w:t>
      </w:r>
      <w:r w:rsidR="001425CE" w:rsidRPr="00144374">
        <w:rPr>
          <w:rFonts w:ascii="Arial" w:eastAsia="Times New Roman" w:hAnsi="Arial" w:cs="Arial"/>
          <w:color w:val="222222"/>
          <w:lang w:eastAsia="es-PE"/>
        </w:rPr>
        <w:t xml:space="preserve">% respecto del mismo </w:t>
      </w:r>
      <w:r w:rsidR="00A3606B" w:rsidRPr="00144374">
        <w:rPr>
          <w:rFonts w:ascii="Arial" w:eastAsia="Times New Roman" w:hAnsi="Arial" w:cs="Arial"/>
          <w:color w:val="222222"/>
          <w:lang w:eastAsia="es-PE"/>
        </w:rPr>
        <w:t>trimestre</w:t>
      </w:r>
      <w:r w:rsidR="001425CE" w:rsidRPr="00144374">
        <w:rPr>
          <w:rFonts w:ascii="Arial" w:eastAsia="Times New Roman" w:hAnsi="Arial" w:cs="Arial"/>
          <w:color w:val="222222"/>
          <w:lang w:eastAsia="es-PE"/>
        </w:rPr>
        <w:t xml:space="preserve"> del 2019</w:t>
      </w:r>
      <w:r w:rsidR="00B21EA7" w:rsidRPr="00144374">
        <w:rPr>
          <w:rFonts w:ascii="Arial" w:eastAsia="Times New Roman" w:hAnsi="Arial" w:cs="Arial"/>
          <w:color w:val="222222"/>
          <w:lang w:eastAsia="es-PE"/>
        </w:rPr>
        <w:t>,</w:t>
      </w:r>
      <w:r w:rsidR="00B21EA7" w:rsidRPr="00144374">
        <w:rPr>
          <w:rFonts w:ascii="Arial" w:eastAsia="Times New Roman" w:hAnsi="Arial" w:cs="Arial"/>
          <w:lang w:eastAsia="es-PE"/>
        </w:rPr>
        <w:t xml:space="preserve"> excluyendo la diferencia en cambio y el efecto del tipo de cambio en el margen bruto.</w:t>
      </w:r>
    </w:p>
    <w:p w14:paraId="236EB8BD" w14:textId="77777777" w:rsidR="00A3606B" w:rsidRDefault="00A3606B" w:rsidP="005715FB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</w:p>
    <w:p w14:paraId="08A364F7" w14:textId="65A5C475" w:rsidR="00F46C67" w:rsidRDefault="005715FB" w:rsidP="005715FB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  <w:r>
        <w:rPr>
          <w:rFonts w:ascii="Arial" w:eastAsia="Times New Roman" w:hAnsi="Arial" w:cs="Arial"/>
          <w:color w:val="222222"/>
          <w:lang w:eastAsia="es-PE"/>
        </w:rPr>
        <w:t>E</w:t>
      </w:r>
      <w:r w:rsidRPr="00543B91">
        <w:rPr>
          <w:rFonts w:ascii="Arial" w:eastAsia="Times New Roman" w:hAnsi="Arial" w:cs="Arial"/>
          <w:color w:val="222222"/>
          <w:lang w:eastAsia="es-PE"/>
        </w:rPr>
        <w:t xml:space="preserve">l EBITDA </w:t>
      </w:r>
      <w:r>
        <w:rPr>
          <w:rFonts w:ascii="Arial" w:eastAsia="Times New Roman" w:hAnsi="Arial" w:cs="Arial"/>
          <w:color w:val="222222"/>
          <w:lang w:eastAsia="es-PE"/>
        </w:rPr>
        <w:t xml:space="preserve">del segundo trimestre de 2021 </w:t>
      </w:r>
      <w:r w:rsidRPr="00CE24AE">
        <w:rPr>
          <w:rFonts w:ascii="Arial" w:eastAsia="Times New Roman" w:hAnsi="Arial" w:cs="Arial"/>
          <w:color w:val="222222"/>
          <w:lang w:eastAsia="es-PE"/>
        </w:rPr>
        <w:t xml:space="preserve">–que refleja la rentabilidad y generación de caja del negocio– </w:t>
      </w:r>
      <w:r w:rsidR="00F46C67">
        <w:rPr>
          <w:rFonts w:ascii="Arial" w:eastAsia="Times New Roman" w:hAnsi="Arial" w:cs="Arial"/>
          <w:color w:val="222222"/>
          <w:lang w:eastAsia="es-PE"/>
        </w:rPr>
        <w:t xml:space="preserve">se ubicó en S/ 246 millones, </w:t>
      </w:r>
      <w:r w:rsidRPr="00543B91">
        <w:rPr>
          <w:rFonts w:ascii="Arial" w:eastAsia="Times New Roman" w:hAnsi="Arial" w:cs="Arial"/>
          <w:color w:val="222222"/>
          <w:lang w:eastAsia="es-PE"/>
        </w:rPr>
        <w:t>mostr</w:t>
      </w:r>
      <w:r w:rsidR="00F46C67">
        <w:rPr>
          <w:rFonts w:ascii="Arial" w:eastAsia="Times New Roman" w:hAnsi="Arial" w:cs="Arial"/>
          <w:color w:val="222222"/>
          <w:lang w:eastAsia="es-PE"/>
        </w:rPr>
        <w:t>ando un incremento de 23</w:t>
      </w:r>
      <w:r w:rsidRPr="00543B91">
        <w:rPr>
          <w:rFonts w:ascii="Arial" w:eastAsia="Times New Roman" w:hAnsi="Arial" w:cs="Arial"/>
          <w:color w:val="222222"/>
          <w:lang w:eastAsia="es-PE"/>
        </w:rPr>
        <w:t xml:space="preserve">2% frente a similar periodo del 2020 y </w:t>
      </w:r>
      <w:r>
        <w:rPr>
          <w:rFonts w:ascii="Arial" w:eastAsia="Times New Roman" w:hAnsi="Arial" w:cs="Arial"/>
          <w:color w:val="222222"/>
          <w:lang w:eastAsia="es-PE"/>
        </w:rPr>
        <w:t>de</w:t>
      </w:r>
      <w:r w:rsidR="00F46C67">
        <w:rPr>
          <w:rFonts w:ascii="Arial" w:eastAsia="Times New Roman" w:hAnsi="Arial" w:cs="Arial"/>
          <w:color w:val="222222"/>
          <w:lang w:eastAsia="es-PE"/>
        </w:rPr>
        <w:t xml:space="preserve"> 27</w:t>
      </w:r>
      <w:r w:rsidRPr="00543B91">
        <w:rPr>
          <w:rFonts w:ascii="Arial" w:eastAsia="Times New Roman" w:hAnsi="Arial" w:cs="Arial"/>
          <w:color w:val="222222"/>
          <w:lang w:eastAsia="es-PE"/>
        </w:rPr>
        <w:t>% frente al</w:t>
      </w:r>
      <w:r>
        <w:rPr>
          <w:rFonts w:ascii="Arial" w:eastAsia="Times New Roman" w:hAnsi="Arial" w:cs="Arial"/>
          <w:color w:val="222222"/>
          <w:lang w:eastAsia="es-PE"/>
        </w:rPr>
        <w:t xml:space="preserve"> mismo trimestre de</w:t>
      </w:r>
      <w:r w:rsidRPr="00543B91">
        <w:rPr>
          <w:rFonts w:ascii="Arial" w:eastAsia="Times New Roman" w:hAnsi="Arial" w:cs="Arial"/>
          <w:color w:val="222222"/>
          <w:lang w:eastAsia="es-PE"/>
        </w:rPr>
        <w:t xml:space="preserve"> 2019.</w:t>
      </w:r>
    </w:p>
    <w:p w14:paraId="32185CA8" w14:textId="6BA76AED" w:rsidR="001E75EA" w:rsidRDefault="001E75EA" w:rsidP="005715FB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</w:p>
    <w:p w14:paraId="4D549892" w14:textId="1372090E" w:rsidR="00960FD0" w:rsidRDefault="001E75EA" w:rsidP="00441734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  <w:r w:rsidRPr="001E75EA">
        <w:rPr>
          <w:rFonts w:ascii="Arial" w:eastAsia="Times New Roman" w:hAnsi="Arial" w:cs="Arial"/>
          <w:color w:val="222222"/>
          <w:lang w:eastAsia="es-PE"/>
        </w:rPr>
        <w:t>El margen EBITDA fue de 16.7%, superior al 9.2% y al 14.1% del segundo trimestre de 2020 y de 2019, respectivamente, lo cual muestra la capacidad de la corporación de mejo</w:t>
      </w:r>
      <w:r w:rsidR="00F20EB8">
        <w:rPr>
          <w:rFonts w:ascii="Arial" w:eastAsia="Times New Roman" w:hAnsi="Arial" w:cs="Arial"/>
          <w:color w:val="222222"/>
          <w:lang w:eastAsia="es-PE"/>
        </w:rPr>
        <w:t>rar su</w:t>
      </w:r>
      <w:r w:rsidRPr="001E75EA">
        <w:rPr>
          <w:rFonts w:ascii="Arial" w:eastAsia="Times New Roman" w:hAnsi="Arial" w:cs="Arial"/>
          <w:color w:val="222222"/>
          <w:lang w:eastAsia="es-PE"/>
        </w:rPr>
        <w:t>s resultados</w:t>
      </w:r>
      <w:r w:rsidR="00F20EB8">
        <w:rPr>
          <w:rFonts w:ascii="Arial" w:eastAsia="Times New Roman" w:hAnsi="Arial" w:cs="Arial"/>
          <w:color w:val="222222"/>
          <w:lang w:eastAsia="es-PE"/>
        </w:rPr>
        <w:t xml:space="preserve"> en un marco de recuperación de</w:t>
      </w:r>
      <w:r w:rsidRPr="001E75EA">
        <w:rPr>
          <w:rFonts w:ascii="Arial" w:eastAsia="Times New Roman" w:hAnsi="Arial" w:cs="Arial"/>
          <w:color w:val="222222"/>
          <w:lang w:eastAsia="es-PE"/>
        </w:rPr>
        <w:t xml:space="preserve"> mercado, mayor demanda y mejor estructura operativa y financiera. </w:t>
      </w:r>
      <w:r w:rsidR="00960FD0">
        <w:rPr>
          <w:rFonts w:ascii="Arial" w:eastAsia="Times New Roman" w:hAnsi="Arial" w:cs="Arial"/>
          <w:color w:val="222222"/>
          <w:lang w:eastAsia="es-PE"/>
        </w:rPr>
        <w:t>Destacan además los márgenes bruto</w:t>
      </w:r>
      <w:r>
        <w:rPr>
          <w:rFonts w:ascii="Arial" w:eastAsia="Times New Roman" w:hAnsi="Arial" w:cs="Arial"/>
          <w:color w:val="222222"/>
          <w:lang w:eastAsia="es-PE"/>
        </w:rPr>
        <w:t xml:space="preserve"> y</w:t>
      </w:r>
      <w:r w:rsidR="00960FD0">
        <w:rPr>
          <w:rFonts w:ascii="Arial" w:eastAsia="Times New Roman" w:hAnsi="Arial" w:cs="Arial"/>
          <w:color w:val="222222"/>
          <w:lang w:eastAsia="es-PE"/>
        </w:rPr>
        <w:t xml:space="preserve"> operativo</w:t>
      </w:r>
      <w:r>
        <w:rPr>
          <w:rFonts w:ascii="Arial" w:eastAsia="Times New Roman" w:hAnsi="Arial" w:cs="Arial"/>
          <w:color w:val="222222"/>
          <w:lang w:eastAsia="es-PE"/>
        </w:rPr>
        <w:t>,</w:t>
      </w:r>
      <w:r w:rsidR="00960FD0">
        <w:rPr>
          <w:rFonts w:ascii="Arial" w:eastAsia="Times New Roman" w:hAnsi="Arial" w:cs="Arial"/>
          <w:color w:val="222222"/>
          <w:lang w:eastAsia="es-PE"/>
        </w:rPr>
        <w:t xml:space="preserve"> de 27.4</w:t>
      </w:r>
      <w:r w:rsidR="00F20EB8">
        <w:rPr>
          <w:rFonts w:ascii="Arial" w:eastAsia="Times New Roman" w:hAnsi="Arial" w:cs="Arial"/>
          <w:color w:val="222222"/>
          <w:lang w:eastAsia="es-PE"/>
        </w:rPr>
        <w:t>%</w:t>
      </w:r>
      <w:r>
        <w:rPr>
          <w:rFonts w:ascii="Arial" w:eastAsia="Times New Roman" w:hAnsi="Arial" w:cs="Arial"/>
          <w:color w:val="222222"/>
          <w:lang w:eastAsia="es-PE"/>
        </w:rPr>
        <w:t xml:space="preserve"> y</w:t>
      </w:r>
      <w:r w:rsidR="00960FD0">
        <w:rPr>
          <w:rFonts w:ascii="Arial" w:eastAsia="Times New Roman" w:hAnsi="Arial" w:cs="Arial"/>
          <w:color w:val="222222"/>
          <w:lang w:eastAsia="es-PE"/>
        </w:rPr>
        <w:t xml:space="preserve"> </w:t>
      </w:r>
      <w:r>
        <w:rPr>
          <w:rFonts w:ascii="Arial" w:eastAsia="Times New Roman" w:hAnsi="Arial" w:cs="Arial"/>
          <w:color w:val="222222"/>
          <w:lang w:eastAsia="es-PE"/>
        </w:rPr>
        <w:t>12.6</w:t>
      </w:r>
      <w:r w:rsidR="00F20EB8">
        <w:rPr>
          <w:rFonts w:ascii="Arial" w:eastAsia="Times New Roman" w:hAnsi="Arial" w:cs="Arial"/>
          <w:color w:val="222222"/>
          <w:lang w:eastAsia="es-PE"/>
        </w:rPr>
        <w:t>%</w:t>
      </w:r>
      <w:r>
        <w:rPr>
          <w:rFonts w:ascii="Arial" w:eastAsia="Times New Roman" w:hAnsi="Arial" w:cs="Arial"/>
          <w:color w:val="222222"/>
          <w:lang w:eastAsia="es-PE"/>
        </w:rPr>
        <w:t xml:space="preserve">, </w:t>
      </w:r>
      <w:r w:rsidR="00960FD0">
        <w:rPr>
          <w:rFonts w:ascii="Arial" w:eastAsia="Times New Roman" w:hAnsi="Arial" w:cs="Arial"/>
          <w:color w:val="222222"/>
          <w:lang w:eastAsia="es-PE"/>
        </w:rPr>
        <w:t>respectivamente,</w:t>
      </w:r>
      <w:r w:rsidR="00F20EB8">
        <w:rPr>
          <w:rFonts w:ascii="Arial" w:eastAsia="Times New Roman" w:hAnsi="Arial" w:cs="Arial"/>
          <w:color w:val="222222"/>
          <w:lang w:eastAsia="es-PE"/>
        </w:rPr>
        <w:t xml:space="preserve"> supe</w:t>
      </w:r>
      <w:r w:rsidR="00960FD0">
        <w:rPr>
          <w:rFonts w:ascii="Arial" w:eastAsia="Times New Roman" w:hAnsi="Arial" w:cs="Arial"/>
          <w:color w:val="222222"/>
          <w:lang w:eastAsia="es-PE"/>
        </w:rPr>
        <w:t xml:space="preserve">riores a los </w:t>
      </w:r>
      <w:r w:rsidR="00F20EB8">
        <w:rPr>
          <w:rFonts w:ascii="Arial" w:eastAsia="Times New Roman" w:hAnsi="Arial" w:cs="Arial"/>
          <w:color w:val="222222"/>
          <w:lang w:eastAsia="es-PE"/>
        </w:rPr>
        <w:t>de</w:t>
      </w:r>
      <w:r w:rsidR="00960FD0">
        <w:rPr>
          <w:rFonts w:ascii="Arial" w:eastAsia="Times New Roman" w:hAnsi="Arial" w:cs="Arial"/>
          <w:color w:val="222222"/>
          <w:lang w:eastAsia="es-PE"/>
        </w:rPr>
        <w:t xml:space="preserve"> similares periodos de 2020 y 2019. </w:t>
      </w:r>
    </w:p>
    <w:p w14:paraId="18D21084" w14:textId="4DD054CB" w:rsidR="002F2614" w:rsidRDefault="002F2614" w:rsidP="00441734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</w:p>
    <w:p w14:paraId="3CD50120" w14:textId="6C305302" w:rsidR="00B77F81" w:rsidRDefault="009A0BBD" w:rsidP="00DE45A6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  <w:r>
        <w:rPr>
          <w:rFonts w:ascii="Arial" w:eastAsia="Times New Roman" w:hAnsi="Arial" w:cs="Arial"/>
          <w:color w:val="222222"/>
          <w:lang w:eastAsia="es-PE"/>
        </w:rPr>
        <w:t>En el segundo trimestre</w:t>
      </w:r>
      <w:r w:rsidRPr="009A0BBD">
        <w:rPr>
          <w:rFonts w:ascii="Arial" w:eastAsia="Times New Roman" w:hAnsi="Arial" w:cs="Arial"/>
          <w:color w:val="222222"/>
          <w:lang w:eastAsia="es-PE"/>
        </w:rPr>
        <w:t>, las ventas de la marca Caterpillar, representada por la corporación a través de distribuidores exclusivos en Perú, Guatemala, El Salvador y Belice, muestran una participación d</w:t>
      </w:r>
      <w:r w:rsidRPr="00932E3B">
        <w:rPr>
          <w:rFonts w:ascii="Arial" w:eastAsia="Times New Roman" w:hAnsi="Arial" w:cs="Arial"/>
          <w:lang w:eastAsia="es-PE"/>
        </w:rPr>
        <w:t>e</w:t>
      </w:r>
      <w:r w:rsidR="00262E83">
        <w:rPr>
          <w:rFonts w:ascii="Arial" w:eastAsia="Times New Roman" w:hAnsi="Arial" w:cs="Arial"/>
          <w:lang w:eastAsia="es-PE"/>
        </w:rPr>
        <w:t xml:space="preserve"> </w:t>
      </w:r>
      <w:r w:rsidR="00144374">
        <w:rPr>
          <w:rFonts w:ascii="Arial" w:eastAsia="Times New Roman" w:hAnsi="Arial" w:cs="Arial"/>
          <w:lang w:eastAsia="es-PE"/>
        </w:rPr>
        <w:t>68</w:t>
      </w:r>
      <w:r w:rsidR="00262E83">
        <w:rPr>
          <w:rFonts w:ascii="Arial" w:eastAsia="Times New Roman" w:hAnsi="Arial" w:cs="Arial"/>
          <w:lang w:eastAsia="es-PE"/>
        </w:rPr>
        <w:t xml:space="preserve">% </w:t>
      </w:r>
      <w:r w:rsidRPr="009A0BBD">
        <w:rPr>
          <w:rFonts w:ascii="Arial" w:eastAsia="Times New Roman" w:hAnsi="Arial" w:cs="Arial"/>
          <w:color w:val="222222"/>
          <w:lang w:eastAsia="es-PE"/>
        </w:rPr>
        <w:t>en los ingresos totales. Comprenden la venta y el alquiler de máquinas y motores, así como la provisión de repuestos y servicios de esta marca.</w:t>
      </w:r>
      <w:bookmarkStart w:id="0" w:name="_GoBack"/>
      <w:bookmarkEnd w:id="0"/>
      <w:r w:rsidR="00672E85" w:rsidRPr="00B77F81">
        <w:rPr>
          <w:rFonts w:ascii="Arial" w:eastAsia="Times New Roman" w:hAnsi="Arial" w:cs="Arial"/>
          <w:color w:val="222222"/>
          <w:lang w:eastAsia="es-PE"/>
        </w:rPr>
        <w:t xml:space="preserve"> </w:t>
      </w:r>
    </w:p>
    <w:p w14:paraId="6ACCE0D0" w14:textId="50D969BF" w:rsidR="00F20EB8" w:rsidRDefault="00F20EB8" w:rsidP="00E45A91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</w:p>
    <w:p w14:paraId="3FBAAAAA" w14:textId="77777777" w:rsidR="00F20EB8" w:rsidRDefault="00F20EB8" w:rsidP="00E45A91">
      <w:pPr>
        <w:contextualSpacing/>
        <w:jc w:val="both"/>
        <w:rPr>
          <w:rFonts w:ascii="Arial" w:eastAsia="Times New Roman" w:hAnsi="Arial" w:cs="Arial"/>
          <w:color w:val="222222"/>
          <w:lang w:eastAsia="es-PE"/>
        </w:rPr>
      </w:pPr>
    </w:p>
    <w:sectPr w:rsidR="00F20EB8" w:rsidSect="00791DC1">
      <w:headerReference w:type="default" r:id="rId7"/>
      <w:pgSz w:w="12240" w:h="15840"/>
      <w:pgMar w:top="1560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E0DE5A" w14:textId="77777777" w:rsidR="000E4E70" w:rsidRDefault="000E4E70" w:rsidP="003C3E90">
      <w:r>
        <w:separator/>
      </w:r>
    </w:p>
  </w:endnote>
  <w:endnote w:type="continuationSeparator" w:id="0">
    <w:p w14:paraId="2744016F" w14:textId="77777777" w:rsidR="000E4E70" w:rsidRDefault="000E4E70" w:rsidP="003C3E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BDBC37" w14:textId="77777777" w:rsidR="000E4E70" w:rsidRDefault="000E4E70" w:rsidP="003C3E90">
      <w:r>
        <w:separator/>
      </w:r>
    </w:p>
  </w:footnote>
  <w:footnote w:type="continuationSeparator" w:id="0">
    <w:p w14:paraId="3CA7C292" w14:textId="77777777" w:rsidR="000E4E70" w:rsidRDefault="000E4E70" w:rsidP="003C3E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8C1146" w14:textId="77777777" w:rsidR="00BF780D" w:rsidRDefault="00BF780D">
    <w:pPr>
      <w:pStyle w:val="Encabezado"/>
    </w:pPr>
    <w:r>
      <w:rPr>
        <w:noProof/>
        <w:lang w:eastAsia="es-PE"/>
      </w:rPr>
      <w:drawing>
        <wp:anchor distT="0" distB="0" distL="114300" distR="114300" simplePos="0" relativeHeight="251659264" behindDoc="0" locked="0" layoutInCell="1" allowOverlap="1" wp14:anchorId="5EE92159" wp14:editId="30B131AB">
          <wp:simplePos x="0" y="0"/>
          <wp:positionH relativeFrom="column">
            <wp:posOffset>1690370</wp:posOffset>
          </wp:positionH>
          <wp:positionV relativeFrom="paragraph">
            <wp:posOffset>-129265</wp:posOffset>
          </wp:positionV>
          <wp:extent cx="2118360" cy="511175"/>
          <wp:effectExtent l="0" t="0" r="0" b="3175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16234"/>
                  <a:stretch>
                    <a:fillRect/>
                  </a:stretch>
                </pic:blipFill>
                <pic:spPr bwMode="auto">
                  <a:xfrm>
                    <a:off x="0" y="0"/>
                    <a:ext cx="2118360" cy="511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54E4E"/>
    <w:multiLevelType w:val="multilevel"/>
    <w:tmpl w:val="AB92737A"/>
    <w:lvl w:ilvl="0">
      <w:start w:val="1"/>
      <w:numFmt w:val="bullet"/>
      <w:lvlText w:val="●"/>
      <w:lvlJc w:val="left"/>
      <w:pPr>
        <w:ind w:left="75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7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9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1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3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5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7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9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1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8D15C26"/>
    <w:multiLevelType w:val="hybridMultilevel"/>
    <w:tmpl w:val="0A4C7D12"/>
    <w:lvl w:ilvl="0" w:tplc="28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EE642AF"/>
    <w:multiLevelType w:val="multilevel"/>
    <w:tmpl w:val="0B3C5AB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FE5701D"/>
    <w:multiLevelType w:val="hybridMultilevel"/>
    <w:tmpl w:val="B7D2A66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9A3B37"/>
    <w:multiLevelType w:val="hybridMultilevel"/>
    <w:tmpl w:val="93CEE532"/>
    <w:lvl w:ilvl="0" w:tplc="280A0001">
      <w:start w:val="1"/>
      <w:numFmt w:val="bullet"/>
      <w:lvlText w:val=""/>
      <w:lvlJc w:val="left"/>
      <w:pPr>
        <w:ind w:left="426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E58"/>
    <w:rsid w:val="00000369"/>
    <w:rsid w:val="00014F28"/>
    <w:rsid w:val="000205EA"/>
    <w:rsid w:val="000576AB"/>
    <w:rsid w:val="000B15FD"/>
    <w:rsid w:val="000E1727"/>
    <w:rsid w:val="000E2C76"/>
    <w:rsid w:val="000E4E70"/>
    <w:rsid w:val="000E62CF"/>
    <w:rsid w:val="000F006C"/>
    <w:rsid w:val="000F5E42"/>
    <w:rsid w:val="00124A3D"/>
    <w:rsid w:val="001425CE"/>
    <w:rsid w:val="00144374"/>
    <w:rsid w:val="00146200"/>
    <w:rsid w:val="001618A2"/>
    <w:rsid w:val="001668AB"/>
    <w:rsid w:val="00166DF4"/>
    <w:rsid w:val="001709BC"/>
    <w:rsid w:val="00180767"/>
    <w:rsid w:val="0018617E"/>
    <w:rsid w:val="001A7FF4"/>
    <w:rsid w:val="001E75EA"/>
    <w:rsid w:val="00202445"/>
    <w:rsid w:val="00202CF1"/>
    <w:rsid w:val="00224D5D"/>
    <w:rsid w:val="00224FCB"/>
    <w:rsid w:val="002257D7"/>
    <w:rsid w:val="002544FA"/>
    <w:rsid w:val="00262E83"/>
    <w:rsid w:val="00262F24"/>
    <w:rsid w:val="00263D4F"/>
    <w:rsid w:val="00270EDD"/>
    <w:rsid w:val="00277885"/>
    <w:rsid w:val="00292CC9"/>
    <w:rsid w:val="002A257A"/>
    <w:rsid w:val="002A5C45"/>
    <w:rsid w:val="002C6889"/>
    <w:rsid w:val="002D596F"/>
    <w:rsid w:val="002F2614"/>
    <w:rsid w:val="002F2886"/>
    <w:rsid w:val="002F3CB3"/>
    <w:rsid w:val="003341FF"/>
    <w:rsid w:val="00354D85"/>
    <w:rsid w:val="003C3E90"/>
    <w:rsid w:val="003D58BD"/>
    <w:rsid w:val="003F0440"/>
    <w:rsid w:val="003F0E2E"/>
    <w:rsid w:val="00412A5B"/>
    <w:rsid w:val="00441734"/>
    <w:rsid w:val="004519A7"/>
    <w:rsid w:val="00485069"/>
    <w:rsid w:val="004855B1"/>
    <w:rsid w:val="004A158C"/>
    <w:rsid w:val="004A2ADE"/>
    <w:rsid w:val="004C01EA"/>
    <w:rsid w:val="004C2D06"/>
    <w:rsid w:val="004D0591"/>
    <w:rsid w:val="004D1FA8"/>
    <w:rsid w:val="004E13D1"/>
    <w:rsid w:val="004E31CB"/>
    <w:rsid w:val="004F0671"/>
    <w:rsid w:val="004F1BE0"/>
    <w:rsid w:val="00543B91"/>
    <w:rsid w:val="00545783"/>
    <w:rsid w:val="00555F1B"/>
    <w:rsid w:val="005659BB"/>
    <w:rsid w:val="005715FB"/>
    <w:rsid w:val="005839C4"/>
    <w:rsid w:val="00583C54"/>
    <w:rsid w:val="0058525E"/>
    <w:rsid w:val="00595C60"/>
    <w:rsid w:val="005A328B"/>
    <w:rsid w:val="005A580C"/>
    <w:rsid w:val="005D20AF"/>
    <w:rsid w:val="005D24A8"/>
    <w:rsid w:val="00613008"/>
    <w:rsid w:val="00622933"/>
    <w:rsid w:val="00627D24"/>
    <w:rsid w:val="00633C5F"/>
    <w:rsid w:val="00660C9E"/>
    <w:rsid w:val="00672E85"/>
    <w:rsid w:val="00675823"/>
    <w:rsid w:val="00676892"/>
    <w:rsid w:val="00683E58"/>
    <w:rsid w:val="0068483A"/>
    <w:rsid w:val="006C2FAB"/>
    <w:rsid w:val="006C69FD"/>
    <w:rsid w:val="006D7EC0"/>
    <w:rsid w:val="006E19DF"/>
    <w:rsid w:val="006F6FD0"/>
    <w:rsid w:val="00714C42"/>
    <w:rsid w:val="007228A5"/>
    <w:rsid w:val="00741EFE"/>
    <w:rsid w:val="00753C07"/>
    <w:rsid w:val="00791DC1"/>
    <w:rsid w:val="007A19DA"/>
    <w:rsid w:val="007B5E91"/>
    <w:rsid w:val="007F724E"/>
    <w:rsid w:val="00804CE4"/>
    <w:rsid w:val="00821279"/>
    <w:rsid w:val="008332B9"/>
    <w:rsid w:val="00844DE4"/>
    <w:rsid w:val="0084525B"/>
    <w:rsid w:val="008463AC"/>
    <w:rsid w:val="00857E8B"/>
    <w:rsid w:val="0086219D"/>
    <w:rsid w:val="008624C2"/>
    <w:rsid w:val="008670C1"/>
    <w:rsid w:val="008842CD"/>
    <w:rsid w:val="00885CE7"/>
    <w:rsid w:val="00890A86"/>
    <w:rsid w:val="008975F9"/>
    <w:rsid w:val="008A7A82"/>
    <w:rsid w:val="008C3F18"/>
    <w:rsid w:val="008D1E35"/>
    <w:rsid w:val="008D43DD"/>
    <w:rsid w:val="008E4FFF"/>
    <w:rsid w:val="008E6E69"/>
    <w:rsid w:val="008F3796"/>
    <w:rsid w:val="008F51EE"/>
    <w:rsid w:val="008F6F06"/>
    <w:rsid w:val="00905307"/>
    <w:rsid w:val="0093110E"/>
    <w:rsid w:val="00932E3B"/>
    <w:rsid w:val="00934D19"/>
    <w:rsid w:val="00953DC6"/>
    <w:rsid w:val="00953E06"/>
    <w:rsid w:val="00960FD0"/>
    <w:rsid w:val="00983F2E"/>
    <w:rsid w:val="009952FA"/>
    <w:rsid w:val="009A0BBD"/>
    <w:rsid w:val="009A4611"/>
    <w:rsid w:val="009A5E20"/>
    <w:rsid w:val="009B6CE4"/>
    <w:rsid w:val="009D4633"/>
    <w:rsid w:val="009E1AAF"/>
    <w:rsid w:val="00A23612"/>
    <w:rsid w:val="00A27BFE"/>
    <w:rsid w:val="00A3013B"/>
    <w:rsid w:val="00A3606B"/>
    <w:rsid w:val="00A40797"/>
    <w:rsid w:val="00A52CD7"/>
    <w:rsid w:val="00A551E4"/>
    <w:rsid w:val="00A61543"/>
    <w:rsid w:val="00A61E08"/>
    <w:rsid w:val="00A70B36"/>
    <w:rsid w:val="00A758E6"/>
    <w:rsid w:val="00AA7819"/>
    <w:rsid w:val="00AB71E6"/>
    <w:rsid w:val="00AC0DE9"/>
    <w:rsid w:val="00AD1725"/>
    <w:rsid w:val="00AE6D3B"/>
    <w:rsid w:val="00AF22BD"/>
    <w:rsid w:val="00AF297C"/>
    <w:rsid w:val="00B21EA7"/>
    <w:rsid w:val="00B225AC"/>
    <w:rsid w:val="00B61F74"/>
    <w:rsid w:val="00B65DDE"/>
    <w:rsid w:val="00B70EE5"/>
    <w:rsid w:val="00B77F0A"/>
    <w:rsid w:val="00B77F81"/>
    <w:rsid w:val="00B835BC"/>
    <w:rsid w:val="00B87807"/>
    <w:rsid w:val="00BA470E"/>
    <w:rsid w:val="00BC2018"/>
    <w:rsid w:val="00BC5AA3"/>
    <w:rsid w:val="00BC605D"/>
    <w:rsid w:val="00BE52B1"/>
    <w:rsid w:val="00BF780D"/>
    <w:rsid w:val="00C047A7"/>
    <w:rsid w:val="00C318F3"/>
    <w:rsid w:val="00C543D9"/>
    <w:rsid w:val="00C92EDE"/>
    <w:rsid w:val="00CB14BA"/>
    <w:rsid w:val="00CE24AE"/>
    <w:rsid w:val="00CF2AE5"/>
    <w:rsid w:val="00D27211"/>
    <w:rsid w:val="00D30DF2"/>
    <w:rsid w:val="00D322AD"/>
    <w:rsid w:val="00D47DF4"/>
    <w:rsid w:val="00D530AE"/>
    <w:rsid w:val="00D62AB7"/>
    <w:rsid w:val="00D652CB"/>
    <w:rsid w:val="00DA7EEB"/>
    <w:rsid w:val="00DD0C7C"/>
    <w:rsid w:val="00DD0EA3"/>
    <w:rsid w:val="00DD3A9A"/>
    <w:rsid w:val="00DE32F7"/>
    <w:rsid w:val="00DE45A6"/>
    <w:rsid w:val="00E07BE5"/>
    <w:rsid w:val="00E369CD"/>
    <w:rsid w:val="00E458CD"/>
    <w:rsid w:val="00E45A91"/>
    <w:rsid w:val="00E547E0"/>
    <w:rsid w:val="00E702F9"/>
    <w:rsid w:val="00E7778E"/>
    <w:rsid w:val="00E83EC4"/>
    <w:rsid w:val="00E83ECA"/>
    <w:rsid w:val="00E83ED6"/>
    <w:rsid w:val="00E86466"/>
    <w:rsid w:val="00E903E4"/>
    <w:rsid w:val="00EB5610"/>
    <w:rsid w:val="00EB7946"/>
    <w:rsid w:val="00EC501F"/>
    <w:rsid w:val="00EC660A"/>
    <w:rsid w:val="00ED7DA0"/>
    <w:rsid w:val="00F16BFD"/>
    <w:rsid w:val="00F20EB8"/>
    <w:rsid w:val="00F247F1"/>
    <w:rsid w:val="00F313BC"/>
    <w:rsid w:val="00F32994"/>
    <w:rsid w:val="00F46C67"/>
    <w:rsid w:val="00F518CB"/>
    <w:rsid w:val="00F738BC"/>
    <w:rsid w:val="00F76562"/>
    <w:rsid w:val="00F960FB"/>
    <w:rsid w:val="00FE7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79F51DC"/>
  <w15:docId w15:val="{34AB2E69-F871-46AD-9FEE-BBE66C8F7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3E58"/>
    <w:pPr>
      <w:spacing w:after="0" w:line="240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83E58"/>
    <w:pPr>
      <w:ind w:left="720"/>
      <w:contextualSpacing/>
    </w:pPr>
  </w:style>
  <w:style w:type="paragraph" w:customStyle="1" w:styleId="m4618083314555977327m8065238838931147240m-6870285401896271579gmail-m4051599468126691217gmail-default">
    <w:name w:val="m_4618083314555977327m_8065238838931147240m_-6870285401896271579gmail-m_4051599468126691217gmail-default"/>
    <w:basedOn w:val="Normal"/>
    <w:rsid w:val="00683E5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paragraph" w:customStyle="1" w:styleId="m3875262616010229206m4378250900513059493gmail-msonospacing">
    <w:name w:val="m_3875262616010229206m_4378250900513059493gmail-msonospacing"/>
    <w:basedOn w:val="Normal"/>
    <w:rsid w:val="00683E5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paragraph" w:styleId="Encabezado">
    <w:name w:val="header"/>
    <w:basedOn w:val="Normal"/>
    <w:link w:val="EncabezadoCar"/>
    <w:uiPriority w:val="99"/>
    <w:unhideWhenUsed/>
    <w:rsid w:val="003C3E9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C3E90"/>
  </w:style>
  <w:style w:type="paragraph" w:styleId="Piedepgina">
    <w:name w:val="footer"/>
    <w:basedOn w:val="Normal"/>
    <w:link w:val="PiedepginaCar"/>
    <w:uiPriority w:val="99"/>
    <w:unhideWhenUsed/>
    <w:rsid w:val="003C3E9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C3E90"/>
  </w:style>
  <w:style w:type="paragraph" w:styleId="Sinespaciado">
    <w:name w:val="No Spacing"/>
    <w:uiPriority w:val="1"/>
    <w:qFormat/>
    <w:rsid w:val="00BC5AA3"/>
    <w:pPr>
      <w:spacing w:after="0" w:line="240" w:lineRule="auto"/>
    </w:pPr>
  </w:style>
  <w:style w:type="paragraph" w:styleId="Textodeglobo">
    <w:name w:val="Balloon Text"/>
    <w:basedOn w:val="Normal"/>
    <w:link w:val="TextodegloboCar"/>
    <w:unhideWhenUsed/>
    <w:rsid w:val="00F960FB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rsid w:val="00F960FB"/>
    <w:rPr>
      <w:rFonts w:ascii="Segoe UI" w:hAnsi="Segoe UI" w:cs="Segoe UI"/>
      <w:sz w:val="18"/>
      <w:szCs w:val="18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0E62CF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0E62CF"/>
  </w:style>
  <w:style w:type="character" w:styleId="Refdecomentario">
    <w:name w:val="annotation reference"/>
    <w:basedOn w:val="Fuentedeprrafopredeter"/>
    <w:uiPriority w:val="99"/>
    <w:semiHidden/>
    <w:unhideWhenUsed/>
    <w:rsid w:val="008C3F1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C3F1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C3F1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C3F1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C3F18"/>
    <w:rPr>
      <w:b/>
      <w:bCs/>
      <w:sz w:val="20"/>
      <w:szCs w:val="20"/>
    </w:rPr>
  </w:style>
  <w:style w:type="character" w:customStyle="1" w:styleId="MemoriaCar">
    <w:name w:val="Memoria Car"/>
    <w:basedOn w:val="Fuentedeprrafopredeter"/>
    <w:link w:val="Memoria"/>
    <w:locked/>
    <w:rsid w:val="00885CE7"/>
    <w:rPr>
      <w:rFonts w:ascii="Arial" w:eastAsia="Calibri" w:hAnsi="Arial" w:cs="Arial"/>
      <w:lang w:val="en-US" w:eastAsia="es-PE"/>
    </w:rPr>
  </w:style>
  <w:style w:type="paragraph" w:customStyle="1" w:styleId="Memoria">
    <w:name w:val="Memoria"/>
    <w:basedOn w:val="Sinespaciado"/>
    <w:link w:val="MemoriaCar"/>
    <w:qFormat/>
    <w:rsid w:val="00885CE7"/>
    <w:pPr>
      <w:jc w:val="both"/>
    </w:pPr>
    <w:rPr>
      <w:rFonts w:ascii="Arial" w:eastAsia="Calibri" w:hAnsi="Arial" w:cs="Arial"/>
      <w:lang w:val="en-US" w:eastAsia="es-PE"/>
    </w:rPr>
  </w:style>
  <w:style w:type="paragraph" w:styleId="NormalWeb">
    <w:name w:val="Normal (Web)"/>
    <w:basedOn w:val="Normal"/>
    <w:uiPriority w:val="99"/>
    <w:semiHidden/>
    <w:unhideWhenUsed/>
    <w:rsid w:val="00CE24A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58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41325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70740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46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279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24159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57201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242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695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Giselle Macera Mesones</dc:creator>
  <cp:lastModifiedBy>Giselle Macera Mesones</cp:lastModifiedBy>
  <cp:revision>2</cp:revision>
  <dcterms:created xsi:type="dcterms:W3CDTF">2021-07-27T22:43:00Z</dcterms:created>
  <dcterms:modified xsi:type="dcterms:W3CDTF">2021-07-27T22:43:00Z</dcterms:modified>
</cp:coreProperties>
</file>