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DC" w:rsidRPr="001D0959" w:rsidRDefault="00CF76CF" w:rsidP="00CF76CF">
      <w:pPr>
        <w:jc w:val="center"/>
        <w:rPr>
          <w:rFonts w:asciiTheme="minorHAnsi" w:hAnsiTheme="minorHAnsi"/>
          <w:b/>
          <w:sz w:val="28"/>
          <w:szCs w:val="28"/>
          <w:u w:val="single"/>
        </w:rPr>
      </w:pPr>
      <w:r w:rsidRPr="001D0959">
        <w:rPr>
          <w:rFonts w:asciiTheme="minorHAnsi" w:hAnsiTheme="minorHAnsi"/>
          <w:b/>
          <w:sz w:val="28"/>
          <w:szCs w:val="28"/>
          <w:u w:val="single"/>
        </w:rPr>
        <w:t>Analyse van de Gentse kantorenmarkt</w:t>
      </w:r>
    </w:p>
    <w:p w:rsidR="00CF76CF" w:rsidRPr="001D0959" w:rsidRDefault="00CF76CF">
      <w:pPr>
        <w:rPr>
          <w:rFonts w:asciiTheme="minorHAnsi" w:hAnsiTheme="minorHAnsi"/>
          <w:szCs w:val="24"/>
        </w:rPr>
      </w:pPr>
    </w:p>
    <w:p w:rsidR="00CF76CF" w:rsidRPr="001D0959" w:rsidRDefault="00CF76CF">
      <w:pPr>
        <w:rPr>
          <w:rFonts w:asciiTheme="minorHAnsi" w:hAnsiTheme="minorHAnsi"/>
          <w:b/>
          <w:szCs w:val="24"/>
          <w:u w:val="single"/>
        </w:rPr>
      </w:pPr>
      <w:r w:rsidRPr="001D0959">
        <w:rPr>
          <w:rFonts w:asciiTheme="minorHAnsi" w:hAnsiTheme="minorHAnsi"/>
          <w:b/>
          <w:szCs w:val="24"/>
          <w:u w:val="single"/>
        </w:rPr>
        <w:t>1. Kerncijfers 201</w:t>
      </w:r>
      <w:r w:rsidR="007243CB">
        <w:rPr>
          <w:rFonts w:asciiTheme="minorHAnsi" w:hAnsiTheme="minorHAnsi"/>
          <w:b/>
          <w:szCs w:val="24"/>
          <w:u w:val="single"/>
        </w:rPr>
        <w:t>6</w:t>
      </w:r>
    </w:p>
    <w:p w:rsidR="00CF76CF" w:rsidRPr="001D0959" w:rsidRDefault="00CF76CF">
      <w:pPr>
        <w:rPr>
          <w:rFonts w:asciiTheme="minorHAnsi" w:hAnsiTheme="minorHAnsi"/>
          <w:szCs w:val="24"/>
        </w:rPr>
      </w:pPr>
    </w:p>
    <w:tbl>
      <w:tblPr>
        <w:tblStyle w:val="Tabelraster"/>
        <w:tblW w:w="0" w:type="auto"/>
        <w:jc w:val="center"/>
        <w:tblLook w:val="04A0" w:firstRow="1" w:lastRow="0" w:firstColumn="1" w:lastColumn="0" w:noHBand="0" w:noVBand="1"/>
      </w:tblPr>
      <w:tblGrid>
        <w:gridCol w:w="3731"/>
        <w:gridCol w:w="2354"/>
      </w:tblGrid>
      <w:tr w:rsidR="00CF76CF" w:rsidRPr="001D0959" w:rsidTr="00DB196A">
        <w:trPr>
          <w:trHeight w:val="367"/>
          <w:jc w:val="center"/>
        </w:trPr>
        <w:tc>
          <w:tcPr>
            <w:tcW w:w="3731" w:type="dxa"/>
          </w:tcPr>
          <w:p w:rsidR="00CF76CF" w:rsidRPr="001D0959" w:rsidRDefault="00CF76CF">
            <w:pPr>
              <w:rPr>
                <w:rFonts w:asciiTheme="minorHAnsi" w:hAnsiTheme="minorHAnsi"/>
                <w:szCs w:val="24"/>
              </w:rPr>
            </w:pPr>
          </w:p>
        </w:tc>
        <w:tc>
          <w:tcPr>
            <w:tcW w:w="2354" w:type="dxa"/>
          </w:tcPr>
          <w:p w:rsidR="00CF76CF" w:rsidRPr="001D0959" w:rsidRDefault="007243CB" w:rsidP="00CF76CF">
            <w:pPr>
              <w:jc w:val="center"/>
              <w:rPr>
                <w:rFonts w:asciiTheme="minorHAnsi" w:hAnsiTheme="minorHAnsi"/>
                <w:b/>
                <w:szCs w:val="24"/>
              </w:rPr>
            </w:pPr>
            <w:r>
              <w:rPr>
                <w:rFonts w:asciiTheme="minorHAnsi" w:hAnsiTheme="minorHAnsi"/>
                <w:b/>
                <w:szCs w:val="24"/>
              </w:rPr>
              <w:t>2016</w:t>
            </w:r>
          </w:p>
        </w:tc>
      </w:tr>
      <w:tr w:rsidR="00CF76CF" w:rsidRPr="00C9060F" w:rsidTr="00DB196A">
        <w:trPr>
          <w:trHeight w:val="367"/>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Totale oppervlakte</w:t>
            </w:r>
          </w:p>
        </w:tc>
        <w:tc>
          <w:tcPr>
            <w:tcW w:w="2354" w:type="dxa"/>
          </w:tcPr>
          <w:p w:rsidR="00CF76CF" w:rsidRPr="00C9060F" w:rsidRDefault="00C9060F" w:rsidP="00284DA4">
            <w:pPr>
              <w:jc w:val="right"/>
              <w:rPr>
                <w:rFonts w:asciiTheme="minorHAnsi" w:hAnsiTheme="minorHAnsi"/>
                <w:szCs w:val="24"/>
              </w:rPr>
            </w:pPr>
            <w:r w:rsidRPr="00C9060F">
              <w:rPr>
                <w:rFonts w:asciiTheme="minorHAnsi" w:hAnsiTheme="minorHAnsi"/>
                <w:szCs w:val="24"/>
              </w:rPr>
              <w:t xml:space="preserve">1,5 miljoen </w:t>
            </w:r>
            <w:r w:rsidR="00CF76CF" w:rsidRPr="00C9060F">
              <w:rPr>
                <w:rFonts w:asciiTheme="minorHAnsi" w:hAnsiTheme="minorHAnsi"/>
                <w:szCs w:val="24"/>
              </w:rPr>
              <w:t>m²</w:t>
            </w:r>
          </w:p>
        </w:tc>
      </w:tr>
      <w:tr w:rsidR="00CF76CF" w:rsidRPr="001D0959" w:rsidTr="00DB196A">
        <w:trPr>
          <w:trHeight w:val="367"/>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Geregistreerde transacties</w:t>
            </w:r>
          </w:p>
        </w:tc>
        <w:tc>
          <w:tcPr>
            <w:tcW w:w="2354" w:type="dxa"/>
          </w:tcPr>
          <w:p w:rsidR="00CF76CF" w:rsidRPr="002549C1" w:rsidRDefault="002549C1" w:rsidP="00C515E1">
            <w:pPr>
              <w:jc w:val="right"/>
              <w:rPr>
                <w:rFonts w:asciiTheme="minorHAnsi" w:hAnsiTheme="minorHAnsi"/>
                <w:szCs w:val="24"/>
              </w:rPr>
            </w:pPr>
            <w:r w:rsidRPr="002549C1">
              <w:rPr>
                <w:rFonts w:asciiTheme="minorHAnsi" w:hAnsiTheme="minorHAnsi"/>
                <w:szCs w:val="24"/>
              </w:rPr>
              <w:t xml:space="preserve"> </w:t>
            </w:r>
            <w:r w:rsidR="00C515E1">
              <w:rPr>
                <w:rFonts w:asciiTheme="minorHAnsi" w:hAnsiTheme="minorHAnsi"/>
                <w:szCs w:val="24"/>
              </w:rPr>
              <w:t>54.350</w:t>
            </w:r>
            <w:r w:rsidR="00CF76CF" w:rsidRPr="002549C1">
              <w:rPr>
                <w:rFonts w:asciiTheme="minorHAnsi" w:hAnsiTheme="minorHAnsi"/>
                <w:szCs w:val="24"/>
              </w:rPr>
              <w:t>m²</w:t>
            </w:r>
          </w:p>
        </w:tc>
      </w:tr>
      <w:tr w:rsidR="00CF76CF" w:rsidRPr="001D0959" w:rsidTr="00DB196A">
        <w:trPr>
          <w:trHeight w:val="367"/>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Aantal transacties</w:t>
            </w:r>
          </w:p>
        </w:tc>
        <w:tc>
          <w:tcPr>
            <w:tcW w:w="2354" w:type="dxa"/>
          </w:tcPr>
          <w:p w:rsidR="00CF76CF" w:rsidRPr="002549C1" w:rsidRDefault="00592EA6" w:rsidP="00CF76CF">
            <w:pPr>
              <w:jc w:val="right"/>
              <w:rPr>
                <w:rFonts w:asciiTheme="minorHAnsi" w:hAnsiTheme="minorHAnsi"/>
                <w:szCs w:val="24"/>
              </w:rPr>
            </w:pPr>
            <w:r>
              <w:rPr>
                <w:rFonts w:asciiTheme="minorHAnsi" w:hAnsiTheme="minorHAnsi"/>
                <w:szCs w:val="24"/>
              </w:rPr>
              <w:t>118</w:t>
            </w:r>
          </w:p>
        </w:tc>
      </w:tr>
      <w:tr w:rsidR="00CF76CF" w:rsidRPr="001D0959" w:rsidTr="00DB196A">
        <w:trPr>
          <w:trHeight w:val="367"/>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Leegstand</w:t>
            </w:r>
          </w:p>
        </w:tc>
        <w:tc>
          <w:tcPr>
            <w:tcW w:w="2354" w:type="dxa"/>
          </w:tcPr>
          <w:p w:rsidR="00CF76CF" w:rsidRPr="007243CB" w:rsidRDefault="00553142" w:rsidP="00C515E1">
            <w:pPr>
              <w:jc w:val="right"/>
              <w:rPr>
                <w:rFonts w:asciiTheme="minorHAnsi" w:hAnsiTheme="minorHAnsi"/>
                <w:szCs w:val="24"/>
                <w:highlight w:val="yellow"/>
              </w:rPr>
            </w:pPr>
            <w:r>
              <w:rPr>
                <w:rFonts w:asciiTheme="minorHAnsi" w:hAnsiTheme="minorHAnsi"/>
                <w:szCs w:val="24"/>
              </w:rPr>
              <w:t>5,</w:t>
            </w:r>
            <w:r w:rsidR="00C515E1" w:rsidDel="00C515E1">
              <w:rPr>
                <w:rFonts w:asciiTheme="minorHAnsi" w:hAnsiTheme="minorHAnsi"/>
                <w:szCs w:val="24"/>
              </w:rPr>
              <w:t xml:space="preserve"> </w:t>
            </w:r>
            <w:r>
              <w:rPr>
                <w:rFonts w:asciiTheme="minorHAnsi" w:hAnsiTheme="minorHAnsi"/>
                <w:szCs w:val="24"/>
              </w:rPr>
              <w:t>6</w:t>
            </w:r>
            <w:r w:rsidR="00CF76CF" w:rsidRPr="00F75A7F">
              <w:rPr>
                <w:rFonts w:asciiTheme="minorHAnsi" w:hAnsiTheme="minorHAnsi"/>
                <w:szCs w:val="24"/>
              </w:rPr>
              <w:t>%</w:t>
            </w:r>
          </w:p>
        </w:tc>
      </w:tr>
      <w:tr w:rsidR="00CF76CF" w:rsidRPr="00B75B1B" w:rsidTr="00DB196A">
        <w:trPr>
          <w:trHeight w:val="367"/>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Gemiddelde prijs</w:t>
            </w:r>
          </w:p>
        </w:tc>
        <w:tc>
          <w:tcPr>
            <w:tcW w:w="2354" w:type="dxa"/>
          </w:tcPr>
          <w:p w:rsidR="00CF76CF" w:rsidRPr="00B75B1B" w:rsidRDefault="00B75B1B" w:rsidP="00D526EC">
            <w:pPr>
              <w:jc w:val="right"/>
              <w:rPr>
                <w:rFonts w:asciiTheme="minorHAnsi" w:hAnsiTheme="minorHAnsi"/>
                <w:szCs w:val="24"/>
              </w:rPr>
            </w:pPr>
            <w:r w:rsidRPr="00B75B1B">
              <w:rPr>
                <w:rFonts w:asciiTheme="minorHAnsi" w:hAnsiTheme="minorHAnsi"/>
                <w:szCs w:val="24"/>
              </w:rPr>
              <w:t>1</w:t>
            </w:r>
            <w:r w:rsidR="00D526EC">
              <w:rPr>
                <w:rFonts w:asciiTheme="minorHAnsi" w:hAnsiTheme="minorHAnsi"/>
                <w:szCs w:val="24"/>
              </w:rPr>
              <w:t>20</w:t>
            </w:r>
            <w:r w:rsidRPr="00B75B1B">
              <w:rPr>
                <w:rFonts w:asciiTheme="minorHAnsi" w:hAnsiTheme="minorHAnsi"/>
                <w:szCs w:val="24"/>
              </w:rPr>
              <w:t xml:space="preserve"> </w:t>
            </w:r>
            <w:r w:rsidR="00CF76CF" w:rsidRPr="00B75B1B">
              <w:rPr>
                <w:rFonts w:asciiTheme="minorHAnsi" w:hAnsiTheme="minorHAnsi"/>
                <w:szCs w:val="24"/>
              </w:rPr>
              <w:t>euro/m²</w:t>
            </w:r>
          </w:p>
        </w:tc>
      </w:tr>
      <w:tr w:rsidR="00CF76CF" w:rsidRPr="00D526EC" w:rsidTr="00DB196A">
        <w:trPr>
          <w:trHeight w:val="390"/>
          <w:jc w:val="center"/>
        </w:trPr>
        <w:tc>
          <w:tcPr>
            <w:tcW w:w="3731" w:type="dxa"/>
          </w:tcPr>
          <w:p w:rsidR="00CF76CF" w:rsidRPr="001D0959" w:rsidRDefault="00CF76CF">
            <w:pPr>
              <w:rPr>
                <w:rFonts w:asciiTheme="minorHAnsi" w:hAnsiTheme="minorHAnsi"/>
                <w:szCs w:val="24"/>
              </w:rPr>
            </w:pPr>
            <w:r w:rsidRPr="001D0959">
              <w:rPr>
                <w:rFonts w:asciiTheme="minorHAnsi" w:hAnsiTheme="minorHAnsi"/>
                <w:szCs w:val="24"/>
              </w:rPr>
              <w:t xml:space="preserve">Prime </w:t>
            </w:r>
            <w:proofErr w:type="spellStart"/>
            <w:r w:rsidRPr="001D0959">
              <w:rPr>
                <w:rFonts w:asciiTheme="minorHAnsi" w:hAnsiTheme="minorHAnsi"/>
                <w:szCs w:val="24"/>
              </w:rPr>
              <w:t>rents</w:t>
            </w:r>
            <w:proofErr w:type="spellEnd"/>
          </w:p>
        </w:tc>
        <w:tc>
          <w:tcPr>
            <w:tcW w:w="2354" w:type="dxa"/>
          </w:tcPr>
          <w:p w:rsidR="00CF76CF" w:rsidRPr="00D526EC" w:rsidRDefault="00D526EC" w:rsidP="00CF76CF">
            <w:pPr>
              <w:jc w:val="right"/>
              <w:rPr>
                <w:rFonts w:asciiTheme="minorHAnsi" w:hAnsiTheme="minorHAnsi"/>
                <w:szCs w:val="24"/>
              </w:rPr>
            </w:pPr>
            <w:r w:rsidRPr="00D526EC">
              <w:rPr>
                <w:rFonts w:asciiTheme="minorHAnsi" w:hAnsiTheme="minorHAnsi"/>
                <w:szCs w:val="24"/>
              </w:rPr>
              <w:t xml:space="preserve">155 </w:t>
            </w:r>
            <w:r w:rsidR="00CF76CF" w:rsidRPr="00D526EC">
              <w:rPr>
                <w:rFonts w:asciiTheme="minorHAnsi" w:hAnsiTheme="minorHAnsi"/>
                <w:szCs w:val="24"/>
              </w:rPr>
              <w:t>euro/m²</w:t>
            </w:r>
          </w:p>
        </w:tc>
      </w:tr>
    </w:tbl>
    <w:p w:rsidR="0071172C" w:rsidRPr="001D0959" w:rsidRDefault="0071172C">
      <w:pPr>
        <w:rPr>
          <w:rFonts w:asciiTheme="minorHAnsi" w:hAnsiTheme="minorHAnsi"/>
          <w:szCs w:val="24"/>
        </w:rPr>
      </w:pPr>
    </w:p>
    <w:p w:rsidR="00CF76CF" w:rsidRPr="001D0959" w:rsidRDefault="00CF76CF">
      <w:pPr>
        <w:rPr>
          <w:rFonts w:asciiTheme="minorHAnsi" w:hAnsiTheme="minorHAnsi"/>
          <w:szCs w:val="24"/>
        </w:rPr>
      </w:pPr>
    </w:p>
    <w:p w:rsidR="00CF76CF" w:rsidRPr="001D0959" w:rsidRDefault="00CF76CF">
      <w:pPr>
        <w:rPr>
          <w:rFonts w:asciiTheme="minorHAnsi" w:hAnsiTheme="minorHAnsi"/>
          <w:b/>
          <w:szCs w:val="24"/>
          <w:u w:val="single"/>
        </w:rPr>
      </w:pPr>
      <w:r w:rsidRPr="001D0959">
        <w:rPr>
          <w:rFonts w:asciiTheme="minorHAnsi" w:hAnsiTheme="minorHAnsi"/>
          <w:b/>
          <w:szCs w:val="24"/>
          <w:u w:val="single"/>
        </w:rPr>
        <w:t>2. Evolutie 2005-201</w:t>
      </w:r>
      <w:r w:rsidR="00C9060F">
        <w:rPr>
          <w:rFonts w:asciiTheme="minorHAnsi" w:hAnsiTheme="minorHAnsi"/>
          <w:b/>
          <w:szCs w:val="24"/>
          <w:u w:val="single"/>
        </w:rPr>
        <w:t>6</w:t>
      </w:r>
    </w:p>
    <w:p w:rsidR="00CF76CF" w:rsidRPr="001D0959" w:rsidRDefault="00CF76CF">
      <w:pPr>
        <w:rPr>
          <w:rFonts w:asciiTheme="minorHAnsi" w:hAnsiTheme="minorHAnsi"/>
          <w:szCs w:val="24"/>
        </w:rPr>
      </w:pPr>
    </w:p>
    <w:p w:rsidR="00CF76CF" w:rsidRPr="00C9060F" w:rsidRDefault="00CF76CF">
      <w:pPr>
        <w:rPr>
          <w:rFonts w:asciiTheme="minorHAnsi" w:hAnsiTheme="minorHAnsi"/>
          <w:b/>
          <w:i/>
          <w:szCs w:val="24"/>
        </w:rPr>
      </w:pPr>
      <w:r w:rsidRPr="00C9060F">
        <w:rPr>
          <w:rFonts w:asciiTheme="minorHAnsi" w:hAnsiTheme="minorHAnsi"/>
          <w:b/>
          <w:i/>
          <w:szCs w:val="24"/>
        </w:rPr>
        <w:t>2.1. Totale omvang Gentse kantorenmarkt</w:t>
      </w:r>
    </w:p>
    <w:p w:rsidR="00DB196A" w:rsidRPr="00C9060F" w:rsidRDefault="00DB196A">
      <w:pPr>
        <w:rPr>
          <w:rFonts w:asciiTheme="minorHAnsi" w:hAnsiTheme="minorHAnsi"/>
          <w:szCs w:val="24"/>
        </w:rPr>
      </w:pPr>
    </w:p>
    <w:p w:rsidR="00CF76CF" w:rsidRPr="001D0959" w:rsidRDefault="00CF76CF">
      <w:pPr>
        <w:rPr>
          <w:rFonts w:asciiTheme="minorHAnsi" w:hAnsiTheme="minorHAnsi"/>
          <w:szCs w:val="24"/>
        </w:rPr>
      </w:pPr>
      <w:r w:rsidRPr="00C9060F">
        <w:rPr>
          <w:rFonts w:asciiTheme="minorHAnsi" w:hAnsiTheme="minorHAnsi"/>
          <w:szCs w:val="24"/>
        </w:rPr>
        <w:t xml:space="preserve">De </w:t>
      </w:r>
      <w:r w:rsidR="0071172C" w:rsidRPr="00C9060F">
        <w:rPr>
          <w:rFonts w:asciiTheme="minorHAnsi" w:hAnsiTheme="minorHAnsi"/>
          <w:szCs w:val="24"/>
        </w:rPr>
        <w:t xml:space="preserve">totale omvang van de </w:t>
      </w:r>
      <w:r w:rsidRPr="00C9060F">
        <w:rPr>
          <w:rFonts w:asciiTheme="minorHAnsi" w:hAnsiTheme="minorHAnsi"/>
          <w:szCs w:val="24"/>
        </w:rPr>
        <w:t>Gentse kantorenmarkt</w:t>
      </w:r>
      <w:r w:rsidR="0071172C" w:rsidRPr="00C9060F">
        <w:rPr>
          <w:rStyle w:val="Voetnootmarkering"/>
          <w:rFonts w:asciiTheme="minorHAnsi" w:hAnsiTheme="minorHAnsi"/>
          <w:szCs w:val="24"/>
        </w:rPr>
        <w:footnoteReference w:id="1"/>
      </w:r>
      <w:r w:rsidR="0071172C" w:rsidRPr="00C9060F">
        <w:rPr>
          <w:rFonts w:asciiTheme="minorHAnsi" w:hAnsiTheme="minorHAnsi"/>
          <w:szCs w:val="24"/>
        </w:rPr>
        <w:t xml:space="preserve"> wordt geraamd op </w:t>
      </w:r>
      <w:r w:rsidR="00C9060F" w:rsidRPr="00C9060F">
        <w:rPr>
          <w:rFonts w:asciiTheme="minorHAnsi" w:hAnsiTheme="minorHAnsi"/>
          <w:szCs w:val="24"/>
        </w:rPr>
        <w:t>ruim</w:t>
      </w:r>
      <w:r w:rsidR="0071172C" w:rsidRPr="00C9060F">
        <w:rPr>
          <w:rFonts w:asciiTheme="minorHAnsi" w:hAnsiTheme="minorHAnsi"/>
          <w:szCs w:val="24"/>
        </w:rPr>
        <w:t xml:space="preserve"> 1,5 miljoen m² bestaande kantoorgebouwen. </w:t>
      </w:r>
      <w:r w:rsidR="00C515E1">
        <w:rPr>
          <w:rFonts w:asciiTheme="minorHAnsi" w:hAnsiTheme="minorHAnsi"/>
          <w:szCs w:val="24"/>
        </w:rPr>
        <w:t xml:space="preserve">Op 10 jaar tijd is de regionale markt gegroeid met ongeveer 200.000m². </w:t>
      </w:r>
    </w:p>
    <w:p w:rsidR="0071172C" w:rsidRPr="001D0959" w:rsidRDefault="0071172C">
      <w:pPr>
        <w:rPr>
          <w:rFonts w:asciiTheme="minorHAnsi" w:hAnsiTheme="minorHAnsi"/>
          <w:szCs w:val="24"/>
        </w:rPr>
      </w:pPr>
    </w:p>
    <w:p w:rsidR="00CF76CF" w:rsidRPr="001D0959" w:rsidRDefault="00C9060F">
      <w:pPr>
        <w:rPr>
          <w:rFonts w:asciiTheme="minorHAnsi" w:hAnsiTheme="minorHAnsi"/>
          <w:szCs w:val="24"/>
        </w:rPr>
      </w:pPr>
      <w:r>
        <w:rPr>
          <w:noProof/>
          <w:lang w:eastAsia="nl-BE"/>
        </w:rPr>
        <w:drawing>
          <wp:inline distT="0" distB="0" distL="0" distR="0" wp14:anchorId="60708AB7" wp14:editId="58867727">
            <wp:extent cx="5410200" cy="3086100"/>
            <wp:effectExtent l="0" t="0" r="19050" b="1905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6843" w:rsidRPr="001D0959" w:rsidRDefault="00606843">
      <w:pPr>
        <w:rPr>
          <w:rFonts w:asciiTheme="minorHAnsi" w:hAnsiTheme="minorHAnsi"/>
          <w:szCs w:val="24"/>
        </w:rPr>
      </w:pPr>
    </w:p>
    <w:p w:rsidR="00606843" w:rsidRPr="001D0959" w:rsidRDefault="00606843">
      <w:pPr>
        <w:rPr>
          <w:rFonts w:asciiTheme="minorHAnsi" w:hAnsiTheme="minorHAnsi"/>
          <w:szCs w:val="24"/>
        </w:rPr>
      </w:pPr>
    </w:p>
    <w:p w:rsidR="001D0959" w:rsidRDefault="001D0959">
      <w:pPr>
        <w:rPr>
          <w:rFonts w:asciiTheme="minorHAnsi" w:hAnsiTheme="minorHAnsi"/>
          <w:b/>
          <w:i/>
          <w:szCs w:val="24"/>
        </w:rPr>
      </w:pPr>
      <w:r>
        <w:rPr>
          <w:rFonts w:asciiTheme="minorHAnsi" w:hAnsiTheme="minorHAnsi"/>
          <w:b/>
          <w:i/>
          <w:szCs w:val="24"/>
        </w:rPr>
        <w:br w:type="page"/>
      </w:r>
    </w:p>
    <w:p w:rsidR="0071172C" w:rsidRPr="001D0959" w:rsidRDefault="0071172C" w:rsidP="0071172C">
      <w:pPr>
        <w:rPr>
          <w:rFonts w:asciiTheme="minorHAnsi" w:hAnsiTheme="minorHAnsi"/>
          <w:b/>
          <w:i/>
          <w:szCs w:val="24"/>
        </w:rPr>
      </w:pPr>
      <w:r w:rsidRPr="001D0959">
        <w:rPr>
          <w:rFonts w:asciiTheme="minorHAnsi" w:hAnsiTheme="minorHAnsi"/>
          <w:b/>
          <w:i/>
          <w:szCs w:val="24"/>
        </w:rPr>
        <w:t>2.2. Opname</w:t>
      </w:r>
    </w:p>
    <w:p w:rsidR="0071172C" w:rsidRDefault="0071172C">
      <w:pPr>
        <w:rPr>
          <w:rFonts w:asciiTheme="minorHAnsi" w:hAnsiTheme="minorHAnsi"/>
          <w:szCs w:val="24"/>
        </w:rPr>
      </w:pPr>
    </w:p>
    <w:p w:rsidR="00592EA6" w:rsidRPr="00592EA6" w:rsidRDefault="00592EA6">
      <w:pPr>
        <w:rPr>
          <w:rFonts w:asciiTheme="minorHAnsi" w:hAnsiTheme="minorHAnsi"/>
          <w:szCs w:val="24"/>
          <w:u w:val="single"/>
        </w:rPr>
      </w:pPr>
      <w:r w:rsidRPr="00592EA6">
        <w:rPr>
          <w:rFonts w:asciiTheme="minorHAnsi" w:hAnsiTheme="minorHAnsi"/>
          <w:szCs w:val="24"/>
          <w:u w:val="single"/>
        </w:rPr>
        <w:t>Opname in m²</w:t>
      </w:r>
    </w:p>
    <w:p w:rsidR="00592EA6" w:rsidRPr="001D0959" w:rsidRDefault="00592EA6">
      <w:pPr>
        <w:rPr>
          <w:rFonts w:asciiTheme="minorHAnsi" w:hAnsiTheme="minorHAnsi"/>
          <w:szCs w:val="24"/>
        </w:rPr>
      </w:pPr>
    </w:p>
    <w:p w:rsidR="00592EA6" w:rsidRDefault="004936E9" w:rsidP="00592EA6">
      <w:pPr>
        <w:keepNext/>
      </w:pPr>
      <w:r>
        <w:rPr>
          <w:noProof/>
          <w:lang w:eastAsia="nl-BE"/>
        </w:rPr>
        <w:drawing>
          <wp:inline distT="0" distB="0" distL="0" distR="0" wp14:anchorId="399609DB" wp14:editId="4C04E59C">
            <wp:extent cx="5760720" cy="2784818"/>
            <wp:effectExtent l="0" t="0" r="11430" b="15875"/>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172C" w:rsidRDefault="0071172C">
      <w:pPr>
        <w:rPr>
          <w:rFonts w:asciiTheme="minorHAnsi" w:hAnsiTheme="minorHAnsi"/>
          <w:szCs w:val="24"/>
        </w:rPr>
      </w:pPr>
    </w:p>
    <w:p w:rsidR="00525140" w:rsidRDefault="00525140">
      <w:pPr>
        <w:rPr>
          <w:rFonts w:asciiTheme="minorHAnsi" w:hAnsiTheme="minorHAnsi"/>
          <w:szCs w:val="24"/>
        </w:rPr>
      </w:pPr>
    </w:p>
    <w:p w:rsidR="00936406" w:rsidRDefault="00936406">
      <w:pPr>
        <w:rPr>
          <w:rFonts w:asciiTheme="minorHAnsi" w:hAnsiTheme="minorHAnsi"/>
        </w:rPr>
      </w:pPr>
      <w:r w:rsidRPr="009814B5">
        <w:rPr>
          <w:rFonts w:asciiTheme="minorHAnsi" w:hAnsiTheme="minorHAnsi"/>
        </w:rPr>
        <w:t>In totaal werd in 2016 voor 54.350m² kantooroppervlakte verhandeld. Dit is 7.800m² minder dan het gemiddelde van de afgelopen 10 jaar</w:t>
      </w:r>
      <w:r>
        <w:rPr>
          <w:rFonts w:asciiTheme="minorHAnsi" w:hAnsiTheme="minorHAnsi"/>
        </w:rPr>
        <w:t xml:space="preserve"> (2007-2016)</w:t>
      </w:r>
      <w:r w:rsidRPr="009814B5">
        <w:rPr>
          <w:rFonts w:asciiTheme="minorHAnsi" w:hAnsiTheme="minorHAnsi"/>
        </w:rPr>
        <w:t xml:space="preserve">, maar ten opzichte van 2015 wel een stijging met 1.500m². </w:t>
      </w:r>
    </w:p>
    <w:p w:rsidR="00936406" w:rsidRDefault="00936406">
      <w:pPr>
        <w:rPr>
          <w:rFonts w:asciiTheme="minorHAnsi" w:hAnsiTheme="minorHAnsi"/>
        </w:rPr>
      </w:pPr>
    </w:p>
    <w:p w:rsidR="00936406" w:rsidRDefault="00936406">
      <w:pPr>
        <w:rPr>
          <w:rFonts w:asciiTheme="minorHAnsi" w:hAnsiTheme="minorHAnsi"/>
        </w:rPr>
      </w:pPr>
      <w:r w:rsidRPr="009814B5">
        <w:rPr>
          <w:rFonts w:asciiTheme="minorHAnsi" w:hAnsiTheme="minorHAnsi"/>
        </w:rPr>
        <w:t>2016 was een absoluut recordjaar wat het aantal transacties betreft. In totaal werden er 118 transacties geregistreerd, dit zijn er 30 meer dan het gemiddelde van de afgelopen 10 jaar.</w:t>
      </w:r>
    </w:p>
    <w:p w:rsidR="00936406" w:rsidRPr="00936406" w:rsidRDefault="00936406">
      <w:pPr>
        <w:rPr>
          <w:rFonts w:asciiTheme="minorHAnsi" w:hAnsiTheme="minorHAnsi"/>
          <w:szCs w:val="24"/>
        </w:rPr>
      </w:pPr>
    </w:p>
    <w:p w:rsidR="00B75B1B" w:rsidRPr="001D0959" w:rsidRDefault="00936406">
      <w:pPr>
        <w:rPr>
          <w:rFonts w:asciiTheme="minorHAnsi" w:hAnsiTheme="minorHAnsi"/>
          <w:szCs w:val="24"/>
        </w:rPr>
      </w:pPr>
      <w:r>
        <w:rPr>
          <w:rFonts w:asciiTheme="minorHAnsi" w:hAnsiTheme="minorHAnsi"/>
          <w:szCs w:val="24"/>
        </w:rPr>
        <w:t>47</w:t>
      </w:r>
      <w:r w:rsidR="00B75B1B">
        <w:rPr>
          <w:rFonts w:asciiTheme="minorHAnsi" w:hAnsiTheme="minorHAnsi"/>
          <w:szCs w:val="24"/>
        </w:rPr>
        <w:t xml:space="preserve">% van de transacties vond plaats in het zuiden van Gent, </w:t>
      </w:r>
      <w:r w:rsidR="00AD7F5E">
        <w:rPr>
          <w:rFonts w:asciiTheme="minorHAnsi" w:hAnsiTheme="minorHAnsi"/>
          <w:szCs w:val="24"/>
        </w:rPr>
        <w:t>4</w:t>
      </w:r>
      <w:r>
        <w:rPr>
          <w:rFonts w:asciiTheme="minorHAnsi" w:hAnsiTheme="minorHAnsi"/>
          <w:szCs w:val="24"/>
        </w:rPr>
        <w:t>0</w:t>
      </w:r>
      <w:r w:rsidR="00B75B1B">
        <w:rPr>
          <w:rFonts w:asciiTheme="minorHAnsi" w:hAnsiTheme="minorHAnsi"/>
          <w:szCs w:val="24"/>
        </w:rPr>
        <w:t>% in het centrum.</w:t>
      </w:r>
    </w:p>
    <w:p w:rsidR="00CF76CF" w:rsidRPr="001D0959" w:rsidRDefault="00CF76CF">
      <w:pPr>
        <w:rPr>
          <w:rFonts w:asciiTheme="minorHAnsi" w:hAnsiTheme="minorHAnsi"/>
          <w:szCs w:val="24"/>
        </w:rPr>
      </w:pPr>
    </w:p>
    <w:p w:rsidR="001D0959" w:rsidRDefault="001D0959">
      <w:pPr>
        <w:rPr>
          <w:rFonts w:asciiTheme="minorHAnsi" w:hAnsiTheme="minorHAnsi"/>
          <w:b/>
          <w:i/>
          <w:szCs w:val="24"/>
        </w:rPr>
      </w:pPr>
      <w:r>
        <w:rPr>
          <w:rFonts w:asciiTheme="minorHAnsi" w:hAnsiTheme="minorHAnsi"/>
          <w:b/>
          <w:i/>
          <w:szCs w:val="24"/>
        </w:rPr>
        <w:br w:type="page"/>
      </w:r>
    </w:p>
    <w:p w:rsidR="007E0D3A" w:rsidRPr="001D0959" w:rsidRDefault="007E0D3A" w:rsidP="007E0D3A">
      <w:pPr>
        <w:rPr>
          <w:rFonts w:asciiTheme="minorHAnsi" w:hAnsiTheme="minorHAnsi"/>
          <w:b/>
          <w:i/>
          <w:szCs w:val="24"/>
        </w:rPr>
      </w:pPr>
      <w:r w:rsidRPr="00EB29C9">
        <w:rPr>
          <w:rFonts w:asciiTheme="minorHAnsi" w:hAnsiTheme="minorHAnsi"/>
          <w:b/>
          <w:i/>
          <w:szCs w:val="24"/>
        </w:rPr>
        <w:t>2.3. Leegstand</w:t>
      </w:r>
    </w:p>
    <w:p w:rsidR="007E0D3A" w:rsidRPr="001D0959" w:rsidRDefault="007E0D3A">
      <w:pPr>
        <w:rPr>
          <w:rFonts w:asciiTheme="minorHAnsi" w:hAnsiTheme="minorHAnsi"/>
          <w:szCs w:val="24"/>
        </w:rPr>
      </w:pPr>
    </w:p>
    <w:p w:rsidR="00FE2832" w:rsidRPr="001D0959" w:rsidRDefault="00FE2832">
      <w:pPr>
        <w:rPr>
          <w:rFonts w:asciiTheme="minorHAnsi" w:hAnsiTheme="minorHAnsi"/>
          <w:szCs w:val="24"/>
          <w:u w:val="single"/>
        </w:rPr>
      </w:pPr>
      <w:r w:rsidRPr="001D0959">
        <w:rPr>
          <w:rFonts w:asciiTheme="minorHAnsi" w:hAnsiTheme="minorHAnsi"/>
          <w:szCs w:val="24"/>
          <w:u w:val="single"/>
        </w:rPr>
        <w:t>Absolute leegstand</w:t>
      </w:r>
    </w:p>
    <w:p w:rsidR="00FE2832" w:rsidRDefault="00FE2832">
      <w:pPr>
        <w:rPr>
          <w:rFonts w:asciiTheme="minorHAnsi" w:hAnsiTheme="minorHAnsi"/>
          <w:szCs w:val="24"/>
        </w:rPr>
      </w:pPr>
    </w:p>
    <w:p w:rsidR="00EB29C9" w:rsidRDefault="004936E9">
      <w:pPr>
        <w:rPr>
          <w:rFonts w:asciiTheme="minorHAnsi" w:hAnsiTheme="minorHAnsi"/>
          <w:szCs w:val="24"/>
        </w:rPr>
      </w:pPr>
      <w:r>
        <w:rPr>
          <w:noProof/>
          <w:lang w:eastAsia="nl-BE"/>
        </w:rPr>
        <w:drawing>
          <wp:inline distT="0" distB="0" distL="0" distR="0" wp14:anchorId="7E17A8AD" wp14:editId="6CAEDE1F">
            <wp:extent cx="5800725" cy="2781300"/>
            <wp:effectExtent l="0" t="0" r="9525" b="1905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9C9" w:rsidRPr="001D0959" w:rsidRDefault="00EB29C9">
      <w:pPr>
        <w:rPr>
          <w:rFonts w:asciiTheme="minorHAnsi" w:hAnsiTheme="minorHAnsi"/>
          <w:szCs w:val="24"/>
        </w:rPr>
      </w:pPr>
    </w:p>
    <w:p w:rsidR="007E0D3A" w:rsidRPr="001D0959" w:rsidRDefault="007E0D3A">
      <w:pPr>
        <w:rPr>
          <w:rFonts w:asciiTheme="minorHAnsi" w:hAnsiTheme="minorHAnsi"/>
          <w:szCs w:val="24"/>
        </w:rPr>
      </w:pPr>
    </w:p>
    <w:p w:rsidR="00CF76CF" w:rsidRPr="001D0959" w:rsidRDefault="00FE2832">
      <w:pPr>
        <w:rPr>
          <w:rFonts w:asciiTheme="minorHAnsi" w:hAnsiTheme="minorHAnsi"/>
          <w:szCs w:val="24"/>
          <w:u w:val="single"/>
        </w:rPr>
      </w:pPr>
      <w:r w:rsidRPr="001D0959">
        <w:rPr>
          <w:rFonts w:asciiTheme="minorHAnsi" w:hAnsiTheme="minorHAnsi"/>
          <w:szCs w:val="24"/>
          <w:u w:val="single"/>
        </w:rPr>
        <w:t>Procentuele leegstand</w:t>
      </w:r>
    </w:p>
    <w:p w:rsidR="00FE2832" w:rsidRPr="001D0959" w:rsidRDefault="00FE2832">
      <w:pPr>
        <w:rPr>
          <w:rFonts w:asciiTheme="minorHAnsi" w:hAnsiTheme="minorHAnsi"/>
          <w:szCs w:val="24"/>
        </w:rPr>
      </w:pPr>
    </w:p>
    <w:tbl>
      <w:tblPr>
        <w:tblStyle w:val="Tabelraster"/>
        <w:tblW w:w="0" w:type="auto"/>
        <w:tblLook w:val="04A0" w:firstRow="1" w:lastRow="0" w:firstColumn="1" w:lastColumn="0" w:noHBand="0" w:noVBand="1"/>
      </w:tblPr>
      <w:tblGrid>
        <w:gridCol w:w="788"/>
        <w:gridCol w:w="787"/>
        <w:gridCol w:w="787"/>
        <w:gridCol w:w="787"/>
        <w:gridCol w:w="788"/>
        <w:gridCol w:w="788"/>
        <w:gridCol w:w="788"/>
        <w:gridCol w:w="788"/>
        <w:gridCol w:w="789"/>
        <w:gridCol w:w="789"/>
        <w:gridCol w:w="706"/>
        <w:gridCol w:w="703"/>
      </w:tblGrid>
      <w:tr w:rsidR="00EB29C9" w:rsidRPr="001D0959" w:rsidTr="00EB29C9">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2005</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2006</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2007</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2008</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2009</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2010</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2011</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2012</w:t>
            </w:r>
          </w:p>
        </w:tc>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2013</w:t>
            </w:r>
          </w:p>
        </w:tc>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2014</w:t>
            </w:r>
          </w:p>
        </w:tc>
        <w:tc>
          <w:tcPr>
            <w:tcW w:w="706"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2015</w:t>
            </w:r>
          </w:p>
        </w:tc>
        <w:tc>
          <w:tcPr>
            <w:tcW w:w="539" w:type="dxa"/>
          </w:tcPr>
          <w:p w:rsidR="00EB29C9" w:rsidRPr="001D0959" w:rsidRDefault="00EB29C9" w:rsidP="00232C74">
            <w:pPr>
              <w:jc w:val="center"/>
              <w:rPr>
                <w:rFonts w:asciiTheme="minorHAnsi" w:hAnsiTheme="minorHAnsi"/>
                <w:szCs w:val="24"/>
              </w:rPr>
            </w:pPr>
            <w:r>
              <w:rPr>
                <w:rFonts w:asciiTheme="minorHAnsi" w:hAnsiTheme="minorHAnsi"/>
                <w:szCs w:val="24"/>
              </w:rPr>
              <w:t>2016</w:t>
            </w:r>
          </w:p>
        </w:tc>
      </w:tr>
      <w:tr w:rsidR="00EB29C9" w:rsidRPr="001D0959" w:rsidTr="00EB29C9">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9,1%</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7,4%</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5,3%</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4,5%</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4,2%</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4,4%</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4,4%</w:t>
            </w:r>
          </w:p>
        </w:tc>
        <w:tc>
          <w:tcPr>
            <w:tcW w:w="804"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4,7%</w:t>
            </w:r>
          </w:p>
        </w:tc>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4,8%</w:t>
            </w:r>
          </w:p>
        </w:tc>
        <w:tc>
          <w:tcPr>
            <w:tcW w:w="805" w:type="dxa"/>
          </w:tcPr>
          <w:p w:rsidR="00EB29C9" w:rsidRPr="001D0959" w:rsidRDefault="00EB29C9" w:rsidP="00232C74">
            <w:pPr>
              <w:jc w:val="center"/>
              <w:rPr>
                <w:rFonts w:asciiTheme="minorHAnsi" w:hAnsiTheme="minorHAnsi"/>
                <w:szCs w:val="24"/>
              </w:rPr>
            </w:pPr>
            <w:r w:rsidRPr="001D0959">
              <w:rPr>
                <w:rFonts w:asciiTheme="minorHAnsi" w:hAnsiTheme="minorHAnsi"/>
                <w:szCs w:val="24"/>
              </w:rPr>
              <w:t>5,5%</w:t>
            </w:r>
          </w:p>
        </w:tc>
        <w:tc>
          <w:tcPr>
            <w:tcW w:w="706" w:type="dxa"/>
          </w:tcPr>
          <w:p w:rsidR="00EB29C9" w:rsidRPr="001D0959" w:rsidRDefault="00EB29C9" w:rsidP="00B167F8">
            <w:pPr>
              <w:jc w:val="center"/>
              <w:rPr>
                <w:rFonts w:asciiTheme="minorHAnsi" w:hAnsiTheme="minorHAnsi"/>
                <w:szCs w:val="24"/>
              </w:rPr>
            </w:pPr>
            <w:r w:rsidRPr="001D0959">
              <w:rPr>
                <w:rFonts w:asciiTheme="minorHAnsi" w:hAnsiTheme="minorHAnsi"/>
                <w:szCs w:val="24"/>
              </w:rPr>
              <w:t>5.</w:t>
            </w:r>
            <w:r>
              <w:rPr>
                <w:rFonts w:asciiTheme="minorHAnsi" w:hAnsiTheme="minorHAnsi"/>
                <w:szCs w:val="24"/>
              </w:rPr>
              <w:t>9</w:t>
            </w:r>
            <w:r w:rsidRPr="001D0959">
              <w:rPr>
                <w:rFonts w:asciiTheme="minorHAnsi" w:hAnsiTheme="minorHAnsi"/>
                <w:szCs w:val="24"/>
              </w:rPr>
              <w:t>%</w:t>
            </w:r>
          </w:p>
        </w:tc>
        <w:tc>
          <w:tcPr>
            <w:tcW w:w="539" w:type="dxa"/>
          </w:tcPr>
          <w:p w:rsidR="00EB29C9" w:rsidRPr="001D0959" w:rsidRDefault="00313829" w:rsidP="0074747B">
            <w:pPr>
              <w:jc w:val="center"/>
              <w:rPr>
                <w:rFonts w:asciiTheme="minorHAnsi" w:hAnsiTheme="minorHAnsi"/>
                <w:szCs w:val="24"/>
              </w:rPr>
            </w:pPr>
            <w:r>
              <w:rPr>
                <w:rFonts w:asciiTheme="minorHAnsi" w:hAnsiTheme="minorHAnsi"/>
                <w:szCs w:val="24"/>
              </w:rPr>
              <w:t>5,</w:t>
            </w:r>
            <w:r w:rsidR="00553142">
              <w:rPr>
                <w:rFonts w:asciiTheme="minorHAnsi" w:hAnsiTheme="minorHAnsi"/>
                <w:szCs w:val="24"/>
              </w:rPr>
              <w:t>6</w:t>
            </w:r>
            <w:r w:rsidR="00EB29C9">
              <w:rPr>
                <w:rFonts w:asciiTheme="minorHAnsi" w:hAnsiTheme="minorHAnsi"/>
                <w:szCs w:val="24"/>
              </w:rPr>
              <w:t>%</w:t>
            </w:r>
          </w:p>
        </w:tc>
      </w:tr>
    </w:tbl>
    <w:p w:rsidR="00CF76CF" w:rsidRPr="001D0959" w:rsidRDefault="00CF76CF">
      <w:pPr>
        <w:rPr>
          <w:rFonts w:asciiTheme="minorHAnsi" w:hAnsiTheme="minorHAnsi"/>
          <w:szCs w:val="24"/>
          <w:highlight w:val="yellow"/>
        </w:rPr>
      </w:pPr>
    </w:p>
    <w:p w:rsidR="00B167F8" w:rsidRDefault="003C2093">
      <w:pPr>
        <w:rPr>
          <w:rFonts w:asciiTheme="minorHAnsi" w:hAnsiTheme="minorHAnsi"/>
          <w:szCs w:val="24"/>
        </w:rPr>
      </w:pPr>
      <w:r w:rsidRPr="001D0959">
        <w:rPr>
          <w:rFonts w:asciiTheme="minorHAnsi" w:hAnsiTheme="minorHAnsi"/>
          <w:szCs w:val="24"/>
        </w:rPr>
        <w:t xml:space="preserve">In </w:t>
      </w:r>
      <w:r w:rsidR="00034766" w:rsidRPr="001D0959">
        <w:rPr>
          <w:rFonts w:asciiTheme="minorHAnsi" w:hAnsiTheme="minorHAnsi"/>
          <w:szCs w:val="24"/>
        </w:rPr>
        <w:t>20</w:t>
      </w:r>
      <w:r w:rsidR="00EB29C9">
        <w:rPr>
          <w:rFonts w:asciiTheme="minorHAnsi" w:hAnsiTheme="minorHAnsi"/>
          <w:szCs w:val="24"/>
        </w:rPr>
        <w:t>16</w:t>
      </w:r>
      <w:r w:rsidRPr="001D0959">
        <w:rPr>
          <w:rFonts w:asciiTheme="minorHAnsi" w:hAnsiTheme="minorHAnsi"/>
          <w:szCs w:val="24"/>
        </w:rPr>
        <w:t xml:space="preserve"> is de leegstand met </w:t>
      </w:r>
      <w:r w:rsidR="004936E9">
        <w:rPr>
          <w:rFonts w:asciiTheme="minorHAnsi" w:hAnsiTheme="minorHAnsi"/>
          <w:szCs w:val="24"/>
        </w:rPr>
        <w:t>4.495m² af</w:t>
      </w:r>
      <w:r w:rsidRPr="001D0959">
        <w:rPr>
          <w:rFonts w:asciiTheme="minorHAnsi" w:hAnsiTheme="minorHAnsi"/>
          <w:szCs w:val="24"/>
        </w:rPr>
        <w:t>genomen tot</w:t>
      </w:r>
      <w:r w:rsidR="00B167F8">
        <w:rPr>
          <w:rFonts w:asciiTheme="minorHAnsi" w:hAnsiTheme="minorHAnsi"/>
          <w:szCs w:val="24"/>
        </w:rPr>
        <w:t xml:space="preserve"> </w:t>
      </w:r>
      <w:r w:rsidR="004936E9">
        <w:rPr>
          <w:rFonts w:asciiTheme="minorHAnsi" w:hAnsiTheme="minorHAnsi"/>
          <w:szCs w:val="24"/>
        </w:rPr>
        <w:t>83.975</w:t>
      </w:r>
      <w:r w:rsidR="00553142">
        <w:rPr>
          <w:rFonts w:asciiTheme="minorHAnsi" w:hAnsiTheme="minorHAnsi"/>
          <w:szCs w:val="24"/>
        </w:rPr>
        <w:t>m</w:t>
      </w:r>
      <w:r w:rsidRPr="001D0959">
        <w:rPr>
          <w:rFonts w:asciiTheme="minorHAnsi" w:hAnsiTheme="minorHAnsi"/>
          <w:szCs w:val="24"/>
        </w:rPr>
        <w:t xml:space="preserve">². Dit is </w:t>
      </w:r>
      <w:r w:rsidR="004936E9">
        <w:rPr>
          <w:rFonts w:asciiTheme="minorHAnsi" w:hAnsiTheme="minorHAnsi"/>
          <w:szCs w:val="24"/>
        </w:rPr>
        <w:t>5,</w:t>
      </w:r>
      <w:r w:rsidR="00553142">
        <w:rPr>
          <w:rFonts w:asciiTheme="minorHAnsi" w:hAnsiTheme="minorHAnsi"/>
          <w:szCs w:val="24"/>
        </w:rPr>
        <w:t>6</w:t>
      </w:r>
      <w:r w:rsidRPr="001D0959">
        <w:rPr>
          <w:rFonts w:asciiTheme="minorHAnsi" w:hAnsiTheme="minorHAnsi"/>
          <w:szCs w:val="24"/>
        </w:rPr>
        <w:t>% van de totale kantorenvoorraad</w:t>
      </w:r>
      <w:r w:rsidR="00AC5D28" w:rsidRPr="001D0959">
        <w:rPr>
          <w:rFonts w:asciiTheme="minorHAnsi" w:hAnsiTheme="minorHAnsi"/>
          <w:szCs w:val="24"/>
        </w:rPr>
        <w:t>.</w:t>
      </w:r>
      <w:r w:rsidR="00B167F8">
        <w:rPr>
          <w:rFonts w:asciiTheme="minorHAnsi" w:hAnsiTheme="minorHAnsi"/>
          <w:szCs w:val="24"/>
        </w:rPr>
        <w:t xml:space="preserve"> Dat is </w:t>
      </w:r>
      <w:r w:rsidR="00553142">
        <w:rPr>
          <w:rFonts w:asciiTheme="minorHAnsi" w:hAnsiTheme="minorHAnsi"/>
          <w:szCs w:val="24"/>
        </w:rPr>
        <w:t xml:space="preserve">onder </w:t>
      </w:r>
      <w:r w:rsidR="00B167F8">
        <w:rPr>
          <w:rFonts w:asciiTheme="minorHAnsi" w:hAnsiTheme="minorHAnsi"/>
          <w:szCs w:val="24"/>
        </w:rPr>
        <w:t xml:space="preserve">de frictieleegstand van 6% welke als aanvaardbaar wordt beschouwd om interne verhuisbewegingen op de markt mogelijk te maken. </w:t>
      </w:r>
    </w:p>
    <w:p w:rsidR="003C2093" w:rsidRPr="001D0959" w:rsidRDefault="003C2093">
      <w:pPr>
        <w:rPr>
          <w:rFonts w:asciiTheme="minorHAnsi" w:hAnsiTheme="minorHAnsi"/>
          <w:szCs w:val="24"/>
        </w:rPr>
      </w:pPr>
    </w:p>
    <w:p w:rsidR="00083B43" w:rsidRPr="001D0959" w:rsidRDefault="00083B43" w:rsidP="0057322A">
      <w:pPr>
        <w:rPr>
          <w:rFonts w:asciiTheme="minorHAnsi" w:hAnsiTheme="minorHAnsi"/>
          <w:szCs w:val="24"/>
        </w:rPr>
      </w:pPr>
    </w:p>
    <w:p w:rsidR="00B167F8" w:rsidRDefault="001D0959" w:rsidP="00B167F8">
      <w:pPr>
        <w:pStyle w:val="Normaalweb"/>
        <w:numPr>
          <w:ilvl w:val="0"/>
          <w:numId w:val="1"/>
        </w:numPr>
        <w:spacing w:before="0" w:beforeAutospacing="0" w:after="160" w:afterAutospacing="0"/>
        <w:rPr>
          <w:rFonts w:ascii="Calibri" w:hAnsi="Calibri"/>
          <w:color w:val="000000"/>
          <w:sz w:val="22"/>
          <w:szCs w:val="22"/>
        </w:rPr>
      </w:pPr>
      <w:r>
        <w:rPr>
          <w:rFonts w:asciiTheme="minorHAnsi" w:hAnsiTheme="minorHAnsi"/>
          <w:b/>
          <w:i/>
        </w:rPr>
        <w:br w:type="page"/>
      </w:r>
    </w:p>
    <w:p w:rsidR="001D0959" w:rsidRDefault="001D0959">
      <w:pPr>
        <w:rPr>
          <w:rFonts w:asciiTheme="minorHAnsi" w:hAnsiTheme="minorHAnsi"/>
          <w:b/>
          <w:i/>
          <w:szCs w:val="24"/>
        </w:rPr>
      </w:pPr>
    </w:p>
    <w:p w:rsidR="0057322A" w:rsidRPr="001D0959" w:rsidRDefault="0057322A" w:rsidP="0057322A">
      <w:pPr>
        <w:rPr>
          <w:rFonts w:asciiTheme="minorHAnsi" w:hAnsiTheme="minorHAnsi"/>
          <w:b/>
          <w:i/>
          <w:szCs w:val="24"/>
        </w:rPr>
      </w:pPr>
      <w:r w:rsidRPr="001D0959">
        <w:rPr>
          <w:rFonts w:asciiTheme="minorHAnsi" w:hAnsiTheme="minorHAnsi"/>
          <w:b/>
          <w:i/>
          <w:szCs w:val="24"/>
        </w:rPr>
        <w:t>2.4. Huurprijzen</w:t>
      </w:r>
    </w:p>
    <w:p w:rsidR="00B41315" w:rsidRPr="001D0959" w:rsidRDefault="00B41315">
      <w:pPr>
        <w:rPr>
          <w:rFonts w:asciiTheme="minorHAnsi" w:hAnsiTheme="minorHAnsi"/>
          <w:szCs w:val="24"/>
        </w:rPr>
      </w:pPr>
    </w:p>
    <w:p w:rsidR="00232C74" w:rsidRPr="001D0959" w:rsidRDefault="00232C74">
      <w:pPr>
        <w:rPr>
          <w:rFonts w:asciiTheme="minorHAnsi" w:hAnsiTheme="minorHAnsi"/>
          <w:szCs w:val="24"/>
          <w:u w:val="single"/>
        </w:rPr>
      </w:pPr>
      <w:r w:rsidRPr="001D0959">
        <w:rPr>
          <w:rFonts w:asciiTheme="minorHAnsi" w:hAnsiTheme="minorHAnsi"/>
          <w:szCs w:val="24"/>
          <w:u w:val="single"/>
        </w:rPr>
        <w:t>Gemiddelde huurprijs</w:t>
      </w:r>
    </w:p>
    <w:p w:rsidR="00232C74" w:rsidRPr="001D0959" w:rsidRDefault="00232C74">
      <w:pPr>
        <w:rPr>
          <w:rFonts w:asciiTheme="minorHAnsi" w:hAnsiTheme="minorHAnsi"/>
          <w:szCs w:val="24"/>
        </w:rPr>
      </w:pPr>
    </w:p>
    <w:p w:rsidR="00B41315" w:rsidRPr="001D0959" w:rsidRDefault="00957BAD">
      <w:pPr>
        <w:rPr>
          <w:rFonts w:asciiTheme="minorHAnsi" w:hAnsiTheme="minorHAnsi"/>
          <w:szCs w:val="24"/>
        </w:rPr>
      </w:pPr>
      <w:r>
        <w:rPr>
          <w:noProof/>
          <w:lang w:eastAsia="nl-BE"/>
        </w:rPr>
        <w:drawing>
          <wp:inline distT="0" distB="0" distL="0" distR="0" wp14:anchorId="1DBF6774" wp14:editId="52F082AE">
            <wp:extent cx="5648325" cy="3381375"/>
            <wp:effectExtent l="0" t="0" r="9525" b="9525"/>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4F8F" w:rsidRPr="001D0959" w:rsidRDefault="009B4F8F">
      <w:pPr>
        <w:rPr>
          <w:rFonts w:asciiTheme="minorHAnsi" w:hAnsiTheme="minorHAnsi"/>
          <w:szCs w:val="24"/>
        </w:rPr>
      </w:pPr>
    </w:p>
    <w:p w:rsidR="009B4F8F" w:rsidRPr="001D0959" w:rsidRDefault="009B4F8F">
      <w:pPr>
        <w:rPr>
          <w:rFonts w:asciiTheme="minorHAnsi" w:hAnsiTheme="minorHAnsi"/>
          <w:szCs w:val="24"/>
        </w:rPr>
      </w:pPr>
    </w:p>
    <w:p w:rsidR="009B4F8F" w:rsidRPr="001D0959" w:rsidRDefault="00F03691">
      <w:pPr>
        <w:rPr>
          <w:rFonts w:asciiTheme="minorHAnsi" w:hAnsiTheme="minorHAnsi"/>
          <w:szCs w:val="24"/>
        </w:rPr>
      </w:pPr>
      <w:r w:rsidRPr="001D0959">
        <w:rPr>
          <w:rFonts w:asciiTheme="minorHAnsi" w:hAnsiTheme="minorHAnsi"/>
          <w:szCs w:val="24"/>
        </w:rPr>
        <w:t xml:space="preserve">Na een sterke stijging </w:t>
      </w:r>
      <w:r w:rsidR="00957BAD">
        <w:rPr>
          <w:rFonts w:asciiTheme="minorHAnsi" w:hAnsiTheme="minorHAnsi"/>
          <w:szCs w:val="24"/>
        </w:rPr>
        <w:t xml:space="preserve">van 2011 tem 2013 tot </w:t>
      </w:r>
      <w:r w:rsidR="00957BAD" w:rsidRPr="001D0959">
        <w:rPr>
          <w:rFonts w:asciiTheme="minorHAnsi" w:hAnsiTheme="minorHAnsi"/>
          <w:szCs w:val="24"/>
        </w:rPr>
        <w:t>126 euro/m²/jaar</w:t>
      </w:r>
      <w:r w:rsidR="00957BAD">
        <w:rPr>
          <w:rFonts w:asciiTheme="minorHAnsi" w:hAnsiTheme="minorHAnsi"/>
          <w:szCs w:val="24"/>
        </w:rPr>
        <w:t xml:space="preserve">, daalde de gemiddelde huurprijs de afgelopen 2 jaren. In 2016 nam die gemiddelde huurprijs terug toe tot 120 </w:t>
      </w:r>
      <w:r w:rsidRPr="001D0959">
        <w:rPr>
          <w:rFonts w:asciiTheme="minorHAnsi" w:hAnsiTheme="minorHAnsi"/>
          <w:szCs w:val="24"/>
        </w:rPr>
        <w:t>euro/m²/jaar in 201</w:t>
      </w:r>
      <w:r w:rsidR="00957BAD">
        <w:rPr>
          <w:rFonts w:asciiTheme="minorHAnsi" w:hAnsiTheme="minorHAnsi"/>
          <w:szCs w:val="24"/>
        </w:rPr>
        <w:t>6</w:t>
      </w:r>
      <w:r w:rsidR="003476EF" w:rsidRPr="001D0959">
        <w:rPr>
          <w:rFonts w:asciiTheme="minorHAnsi" w:hAnsiTheme="minorHAnsi"/>
          <w:szCs w:val="24"/>
        </w:rPr>
        <w:t xml:space="preserve">, </w:t>
      </w:r>
      <w:r w:rsidR="00957BAD">
        <w:rPr>
          <w:rFonts w:asciiTheme="minorHAnsi" w:hAnsiTheme="minorHAnsi"/>
          <w:szCs w:val="24"/>
        </w:rPr>
        <w:t>maar is deze nog steeds lager dan het</w:t>
      </w:r>
      <w:r w:rsidR="003476EF" w:rsidRPr="001D0959">
        <w:rPr>
          <w:rFonts w:asciiTheme="minorHAnsi" w:hAnsiTheme="minorHAnsi"/>
          <w:szCs w:val="24"/>
        </w:rPr>
        <w:t xml:space="preserve"> niveau </w:t>
      </w:r>
      <w:r w:rsidR="00957BAD">
        <w:rPr>
          <w:rFonts w:asciiTheme="minorHAnsi" w:hAnsiTheme="minorHAnsi"/>
          <w:szCs w:val="24"/>
        </w:rPr>
        <w:t>in 2013</w:t>
      </w:r>
      <w:r w:rsidR="003476EF" w:rsidRPr="001D0959">
        <w:rPr>
          <w:rFonts w:asciiTheme="minorHAnsi" w:hAnsiTheme="minorHAnsi"/>
          <w:szCs w:val="24"/>
        </w:rPr>
        <w:t>.</w:t>
      </w:r>
    </w:p>
    <w:p w:rsidR="00F03691" w:rsidRPr="001D0959" w:rsidRDefault="00F03691">
      <w:pPr>
        <w:rPr>
          <w:rFonts w:asciiTheme="minorHAnsi" w:hAnsiTheme="minorHAnsi"/>
          <w:szCs w:val="24"/>
        </w:rPr>
      </w:pPr>
    </w:p>
    <w:p w:rsidR="00232C74" w:rsidRPr="001D0959" w:rsidRDefault="00232C74">
      <w:pPr>
        <w:rPr>
          <w:rFonts w:asciiTheme="minorHAnsi" w:hAnsiTheme="minorHAnsi"/>
          <w:szCs w:val="24"/>
          <w:u w:val="single"/>
        </w:rPr>
      </w:pPr>
      <w:r w:rsidRPr="001D0959">
        <w:rPr>
          <w:rFonts w:asciiTheme="minorHAnsi" w:hAnsiTheme="minorHAnsi"/>
          <w:szCs w:val="24"/>
          <w:u w:val="single"/>
        </w:rPr>
        <w:t xml:space="preserve">Prime </w:t>
      </w:r>
      <w:proofErr w:type="spellStart"/>
      <w:r w:rsidRPr="001D0959">
        <w:rPr>
          <w:rFonts w:asciiTheme="minorHAnsi" w:hAnsiTheme="minorHAnsi"/>
          <w:szCs w:val="24"/>
          <w:u w:val="single"/>
        </w:rPr>
        <w:t>rents</w:t>
      </w:r>
      <w:proofErr w:type="spellEnd"/>
      <w:r w:rsidRPr="001D0959">
        <w:rPr>
          <w:rFonts w:asciiTheme="minorHAnsi" w:hAnsiTheme="minorHAnsi"/>
          <w:szCs w:val="24"/>
        </w:rPr>
        <w:t xml:space="preserve"> (euro/m²/jaar)</w:t>
      </w:r>
    </w:p>
    <w:p w:rsidR="00232C74" w:rsidRPr="001D0959" w:rsidRDefault="00232C74">
      <w:pPr>
        <w:rPr>
          <w:rFonts w:asciiTheme="minorHAnsi" w:hAnsiTheme="minorHAnsi"/>
          <w:szCs w:val="24"/>
          <w:u w:val="single"/>
        </w:rPr>
      </w:pPr>
    </w:p>
    <w:tbl>
      <w:tblPr>
        <w:tblStyle w:val="Tabelraster"/>
        <w:tblW w:w="0" w:type="auto"/>
        <w:tblLook w:val="04A0" w:firstRow="1" w:lastRow="0" w:firstColumn="1" w:lastColumn="0" w:noHBand="0" w:noVBand="1"/>
      </w:tblPr>
      <w:tblGrid>
        <w:gridCol w:w="788"/>
        <w:gridCol w:w="788"/>
        <w:gridCol w:w="787"/>
        <w:gridCol w:w="787"/>
        <w:gridCol w:w="787"/>
        <w:gridCol w:w="787"/>
        <w:gridCol w:w="787"/>
        <w:gridCol w:w="787"/>
        <w:gridCol w:w="787"/>
        <w:gridCol w:w="787"/>
        <w:gridCol w:w="713"/>
        <w:gridCol w:w="703"/>
      </w:tblGrid>
      <w:tr w:rsidR="00957BAD" w:rsidRPr="001D0959" w:rsidTr="00957BAD">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2005</w:t>
            </w:r>
          </w:p>
        </w:tc>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2006</w:t>
            </w:r>
          </w:p>
        </w:tc>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2007</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2008</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2009</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2010</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2011</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2012</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2013</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2014</w:t>
            </w:r>
          </w:p>
        </w:tc>
        <w:tc>
          <w:tcPr>
            <w:tcW w:w="715"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2015</w:t>
            </w:r>
          </w:p>
        </w:tc>
        <w:tc>
          <w:tcPr>
            <w:tcW w:w="546" w:type="dxa"/>
          </w:tcPr>
          <w:p w:rsidR="00957BAD" w:rsidRPr="001D0959" w:rsidRDefault="00957BAD" w:rsidP="003E3F21">
            <w:pPr>
              <w:jc w:val="center"/>
              <w:rPr>
                <w:rFonts w:asciiTheme="minorHAnsi" w:hAnsiTheme="minorHAnsi"/>
                <w:szCs w:val="24"/>
              </w:rPr>
            </w:pPr>
            <w:r>
              <w:rPr>
                <w:rFonts w:asciiTheme="minorHAnsi" w:hAnsiTheme="minorHAnsi"/>
                <w:szCs w:val="24"/>
              </w:rPr>
              <w:t>2016</w:t>
            </w:r>
          </w:p>
        </w:tc>
      </w:tr>
      <w:tr w:rsidR="00957BAD" w:rsidRPr="001D0959" w:rsidTr="00957BAD">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110</w:t>
            </w:r>
          </w:p>
        </w:tc>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130</w:t>
            </w:r>
          </w:p>
        </w:tc>
        <w:tc>
          <w:tcPr>
            <w:tcW w:w="802"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130</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135</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135</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140</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145</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155</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150</w:t>
            </w:r>
          </w:p>
        </w:tc>
        <w:tc>
          <w:tcPr>
            <w:tcW w:w="803" w:type="dxa"/>
          </w:tcPr>
          <w:p w:rsidR="00957BAD" w:rsidRPr="001D0959" w:rsidRDefault="00957BAD" w:rsidP="003E3F21">
            <w:pPr>
              <w:jc w:val="center"/>
              <w:rPr>
                <w:rFonts w:asciiTheme="minorHAnsi" w:hAnsiTheme="minorHAnsi"/>
                <w:szCs w:val="24"/>
              </w:rPr>
            </w:pPr>
            <w:r w:rsidRPr="001D0959">
              <w:rPr>
                <w:rFonts w:asciiTheme="minorHAnsi" w:hAnsiTheme="minorHAnsi"/>
                <w:szCs w:val="24"/>
              </w:rPr>
              <w:t>155</w:t>
            </w:r>
          </w:p>
        </w:tc>
        <w:tc>
          <w:tcPr>
            <w:tcW w:w="715" w:type="dxa"/>
          </w:tcPr>
          <w:p w:rsidR="00957BAD" w:rsidRPr="00553142" w:rsidRDefault="00957BAD" w:rsidP="003476EF">
            <w:pPr>
              <w:jc w:val="center"/>
              <w:rPr>
                <w:rFonts w:asciiTheme="minorHAnsi" w:hAnsiTheme="minorHAnsi"/>
                <w:szCs w:val="24"/>
              </w:rPr>
            </w:pPr>
            <w:r w:rsidRPr="00553142">
              <w:rPr>
                <w:rFonts w:asciiTheme="minorHAnsi" w:hAnsiTheme="minorHAnsi"/>
                <w:szCs w:val="24"/>
              </w:rPr>
              <w:t>150</w:t>
            </w:r>
          </w:p>
        </w:tc>
        <w:tc>
          <w:tcPr>
            <w:tcW w:w="546" w:type="dxa"/>
          </w:tcPr>
          <w:p w:rsidR="00957BAD" w:rsidRPr="00553142" w:rsidRDefault="00957BAD" w:rsidP="003476EF">
            <w:pPr>
              <w:jc w:val="center"/>
              <w:rPr>
                <w:rFonts w:asciiTheme="minorHAnsi" w:hAnsiTheme="minorHAnsi"/>
                <w:szCs w:val="24"/>
              </w:rPr>
            </w:pPr>
            <w:r w:rsidRPr="00553142">
              <w:rPr>
                <w:rFonts w:asciiTheme="minorHAnsi" w:hAnsiTheme="minorHAnsi"/>
                <w:szCs w:val="24"/>
              </w:rPr>
              <w:t>155</w:t>
            </w:r>
          </w:p>
        </w:tc>
      </w:tr>
    </w:tbl>
    <w:p w:rsidR="00232C74" w:rsidRPr="001D0959" w:rsidRDefault="00232C74">
      <w:pPr>
        <w:rPr>
          <w:rFonts w:asciiTheme="minorHAnsi" w:hAnsiTheme="minorHAnsi"/>
          <w:szCs w:val="24"/>
        </w:rPr>
      </w:pPr>
    </w:p>
    <w:p w:rsidR="00F03691" w:rsidRPr="001D0959" w:rsidRDefault="00F03691">
      <w:pPr>
        <w:rPr>
          <w:rFonts w:asciiTheme="minorHAnsi" w:hAnsiTheme="minorHAnsi"/>
          <w:szCs w:val="24"/>
        </w:rPr>
      </w:pPr>
      <w:r w:rsidRPr="001D0959">
        <w:rPr>
          <w:rFonts w:asciiTheme="minorHAnsi" w:hAnsiTheme="minorHAnsi"/>
          <w:szCs w:val="24"/>
        </w:rPr>
        <w:t xml:space="preserve">De prime </w:t>
      </w:r>
      <w:proofErr w:type="spellStart"/>
      <w:r w:rsidRPr="001D0959">
        <w:rPr>
          <w:rFonts w:asciiTheme="minorHAnsi" w:hAnsiTheme="minorHAnsi"/>
          <w:szCs w:val="24"/>
        </w:rPr>
        <w:t>rents</w:t>
      </w:r>
      <w:proofErr w:type="spellEnd"/>
      <w:r w:rsidRPr="001D0959">
        <w:rPr>
          <w:rFonts w:asciiTheme="minorHAnsi" w:hAnsiTheme="minorHAnsi"/>
          <w:szCs w:val="24"/>
        </w:rPr>
        <w:t xml:space="preserve"> (tophuurprijzen) blijven evenwel op hetzelfde ni</w:t>
      </w:r>
      <w:r w:rsidR="00232C74" w:rsidRPr="001D0959">
        <w:rPr>
          <w:rFonts w:asciiTheme="minorHAnsi" w:hAnsiTheme="minorHAnsi"/>
          <w:szCs w:val="24"/>
        </w:rPr>
        <w:t xml:space="preserve">veau als </w:t>
      </w:r>
      <w:r w:rsidR="00957BAD">
        <w:rPr>
          <w:rFonts w:asciiTheme="minorHAnsi" w:hAnsiTheme="minorHAnsi"/>
          <w:szCs w:val="24"/>
        </w:rPr>
        <w:t>de laatste jaren</w:t>
      </w:r>
      <w:r w:rsidR="00232C74" w:rsidRPr="001D0959">
        <w:rPr>
          <w:rFonts w:asciiTheme="minorHAnsi" w:hAnsiTheme="minorHAnsi"/>
          <w:szCs w:val="24"/>
        </w:rPr>
        <w:t xml:space="preserve"> met </w:t>
      </w:r>
      <w:r w:rsidRPr="001D0959">
        <w:rPr>
          <w:rFonts w:asciiTheme="minorHAnsi" w:hAnsiTheme="minorHAnsi"/>
          <w:szCs w:val="24"/>
        </w:rPr>
        <w:t xml:space="preserve">150 à 155 euro/m²/jaar. </w:t>
      </w:r>
      <w:r w:rsidR="00232C74" w:rsidRPr="001D0959">
        <w:rPr>
          <w:rFonts w:asciiTheme="minorHAnsi" w:hAnsiTheme="minorHAnsi"/>
          <w:szCs w:val="24"/>
        </w:rPr>
        <w:t>Dit betreft o.a. de huurprijzen voor de kantoren in en rond het voetbalstadion.</w:t>
      </w:r>
    </w:p>
    <w:p w:rsidR="009B4F8F" w:rsidRPr="001D0959" w:rsidRDefault="009B4F8F">
      <w:pPr>
        <w:rPr>
          <w:rFonts w:asciiTheme="minorHAnsi" w:hAnsiTheme="minorHAnsi"/>
          <w:szCs w:val="24"/>
        </w:rPr>
      </w:pPr>
    </w:p>
    <w:p w:rsidR="009B4F8F" w:rsidRPr="001D0959" w:rsidRDefault="009B4F8F">
      <w:pPr>
        <w:rPr>
          <w:rFonts w:asciiTheme="minorHAnsi" w:hAnsiTheme="minorHAnsi"/>
          <w:b/>
          <w:szCs w:val="24"/>
          <w:u w:val="single"/>
        </w:rPr>
      </w:pPr>
      <w:r w:rsidRPr="001D0959">
        <w:rPr>
          <w:rFonts w:asciiTheme="minorHAnsi" w:hAnsiTheme="minorHAnsi"/>
          <w:b/>
          <w:szCs w:val="24"/>
          <w:u w:val="single"/>
        </w:rPr>
        <w:br w:type="page"/>
      </w:r>
    </w:p>
    <w:p w:rsidR="009B4F8F" w:rsidRPr="001D0959" w:rsidRDefault="009B4F8F" w:rsidP="009B4F8F">
      <w:pPr>
        <w:rPr>
          <w:rFonts w:asciiTheme="minorHAnsi" w:hAnsiTheme="minorHAnsi"/>
          <w:b/>
          <w:szCs w:val="24"/>
          <w:u w:val="single"/>
        </w:rPr>
      </w:pPr>
      <w:r w:rsidRPr="001D0959">
        <w:rPr>
          <w:rFonts w:asciiTheme="minorHAnsi" w:hAnsiTheme="minorHAnsi"/>
          <w:b/>
          <w:szCs w:val="24"/>
          <w:u w:val="single"/>
        </w:rPr>
        <w:t>3. Toekomstige kantorenmarkt</w:t>
      </w:r>
    </w:p>
    <w:p w:rsidR="009B4F8F" w:rsidRPr="001D0959" w:rsidRDefault="009B4F8F">
      <w:pPr>
        <w:rPr>
          <w:rFonts w:asciiTheme="minorHAnsi" w:hAnsiTheme="minorHAnsi"/>
          <w:szCs w:val="24"/>
        </w:rPr>
      </w:pPr>
    </w:p>
    <w:p w:rsidR="000C0830" w:rsidRPr="001D0959" w:rsidRDefault="009B4F8F">
      <w:pPr>
        <w:rPr>
          <w:rFonts w:asciiTheme="minorHAnsi" w:hAnsiTheme="minorHAnsi"/>
          <w:szCs w:val="24"/>
        </w:rPr>
      </w:pPr>
      <w:r w:rsidRPr="001D0959">
        <w:rPr>
          <w:rFonts w:asciiTheme="minorHAnsi" w:hAnsiTheme="minorHAnsi"/>
          <w:szCs w:val="24"/>
        </w:rPr>
        <w:t>De afgelopen jaren zijn een aantal strategische projecten met kantoren tot ontwikkeling gekomen.</w:t>
      </w:r>
      <w:r w:rsidR="000C0830" w:rsidRPr="001D0959">
        <w:rPr>
          <w:rFonts w:asciiTheme="minorHAnsi" w:hAnsiTheme="minorHAnsi"/>
          <w:szCs w:val="24"/>
        </w:rPr>
        <w:t xml:space="preserve"> Deze projecten zorgen voor een nieuw en kwalitatief hoogstaand aanbod. Dit uit zich zowel op het vlak van duurzaamheid als architecturale vormgeving. Deze kantoorprojecten dragen dan ook bij tot het verder versterken van de Gentse kantorenmarkt. </w:t>
      </w:r>
    </w:p>
    <w:p w:rsidR="000C0830" w:rsidRPr="001D0959" w:rsidRDefault="000C0830">
      <w:pPr>
        <w:rPr>
          <w:rFonts w:asciiTheme="minorHAnsi" w:hAnsiTheme="minorHAnsi"/>
          <w:szCs w:val="24"/>
        </w:rPr>
      </w:pPr>
    </w:p>
    <w:p w:rsidR="009B4F8F" w:rsidRPr="001D0959" w:rsidRDefault="009B4F8F">
      <w:pPr>
        <w:rPr>
          <w:rFonts w:asciiTheme="minorHAnsi" w:hAnsiTheme="minorHAnsi"/>
          <w:szCs w:val="24"/>
        </w:rPr>
      </w:pPr>
    </w:p>
    <w:p w:rsidR="009B4F8F" w:rsidRPr="001D0959" w:rsidRDefault="000C0830">
      <w:pPr>
        <w:rPr>
          <w:rFonts w:asciiTheme="minorHAnsi" w:hAnsiTheme="minorHAnsi"/>
          <w:szCs w:val="24"/>
          <w:u w:val="single"/>
        </w:rPr>
      </w:pPr>
      <w:r w:rsidRPr="001D0959">
        <w:rPr>
          <w:rFonts w:asciiTheme="minorHAnsi" w:hAnsiTheme="minorHAnsi"/>
          <w:szCs w:val="24"/>
          <w:u w:val="single"/>
        </w:rPr>
        <w:t>Site voetbalstadion</w:t>
      </w:r>
    </w:p>
    <w:p w:rsidR="00FE2832" w:rsidRPr="001D0959" w:rsidRDefault="000C0830">
      <w:pPr>
        <w:rPr>
          <w:rFonts w:asciiTheme="minorHAnsi" w:hAnsiTheme="minorHAnsi"/>
          <w:szCs w:val="24"/>
        </w:rPr>
      </w:pPr>
      <w:r w:rsidRPr="001D0959">
        <w:rPr>
          <w:rFonts w:asciiTheme="minorHAnsi" w:hAnsiTheme="minorHAnsi"/>
          <w:szCs w:val="24"/>
        </w:rPr>
        <w:t xml:space="preserve">Met de bouw van het </w:t>
      </w:r>
      <w:proofErr w:type="spellStart"/>
      <w:r w:rsidRPr="001D0959">
        <w:rPr>
          <w:rFonts w:asciiTheme="minorHAnsi" w:hAnsiTheme="minorHAnsi"/>
          <w:szCs w:val="24"/>
        </w:rPr>
        <w:t>Ghelamco</w:t>
      </w:r>
      <w:proofErr w:type="spellEnd"/>
      <w:r w:rsidRPr="001D0959">
        <w:rPr>
          <w:rFonts w:asciiTheme="minorHAnsi" w:hAnsiTheme="minorHAnsi"/>
          <w:szCs w:val="24"/>
        </w:rPr>
        <w:t>-stadion en aanpalend de 2 nieuwe kantoorgebouwen Blue Towers is meer dan 40.000m² extra aanbod op de markt gebracht</w:t>
      </w:r>
      <w:r w:rsidRPr="00553142">
        <w:rPr>
          <w:rFonts w:asciiTheme="minorHAnsi" w:hAnsiTheme="minorHAnsi"/>
          <w:szCs w:val="24"/>
        </w:rPr>
        <w:t xml:space="preserve">. Hiervan is </w:t>
      </w:r>
      <w:r w:rsidR="00553142" w:rsidRPr="00553142">
        <w:rPr>
          <w:rFonts w:asciiTheme="minorHAnsi" w:hAnsiTheme="minorHAnsi"/>
          <w:szCs w:val="24"/>
        </w:rPr>
        <w:t>alles verhuurd</w:t>
      </w:r>
      <w:r w:rsidR="00553142">
        <w:rPr>
          <w:rFonts w:asciiTheme="minorHAnsi" w:hAnsiTheme="minorHAnsi"/>
          <w:szCs w:val="24"/>
        </w:rPr>
        <w:t>.</w:t>
      </w:r>
    </w:p>
    <w:p w:rsidR="00FE2832" w:rsidRPr="001D0959" w:rsidRDefault="00FE2832">
      <w:pPr>
        <w:rPr>
          <w:rFonts w:asciiTheme="minorHAnsi" w:hAnsiTheme="minorHAnsi"/>
          <w:szCs w:val="24"/>
        </w:rPr>
      </w:pPr>
    </w:p>
    <w:p w:rsidR="00FE2832" w:rsidRPr="001D0959" w:rsidRDefault="000C0830">
      <w:pPr>
        <w:rPr>
          <w:rFonts w:asciiTheme="minorHAnsi" w:hAnsiTheme="minorHAnsi"/>
          <w:szCs w:val="24"/>
          <w:u w:val="single"/>
        </w:rPr>
      </w:pPr>
      <w:r w:rsidRPr="001D0959">
        <w:rPr>
          <w:rFonts w:asciiTheme="minorHAnsi" w:hAnsiTheme="minorHAnsi"/>
          <w:szCs w:val="24"/>
          <w:u w:val="single"/>
        </w:rPr>
        <w:t>Site station Gent-St.-Pieters</w:t>
      </w:r>
    </w:p>
    <w:p w:rsidR="00257D46" w:rsidRPr="001D0959" w:rsidRDefault="000C0830">
      <w:pPr>
        <w:rPr>
          <w:rFonts w:asciiTheme="minorHAnsi" w:hAnsiTheme="minorHAnsi"/>
          <w:szCs w:val="24"/>
        </w:rPr>
      </w:pPr>
      <w:r w:rsidRPr="001D0959">
        <w:rPr>
          <w:rFonts w:asciiTheme="minorHAnsi" w:hAnsiTheme="minorHAnsi"/>
          <w:szCs w:val="24"/>
        </w:rPr>
        <w:t xml:space="preserve">Met de bouw van het </w:t>
      </w:r>
      <w:proofErr w:type="spellStart"/>
      <w:r w:rsidRPr="001D0959">
        <w:rPr>
          <w:rFonts w:asciiTheme="minorHAnsi" w:hAnsiTheme="minorHAnsi"/>
          <w:szCs w:val="24"/>
        </w:rPr>
        <w:t>Lovelinggebouw</w:t>
      </w:r>
      <w:proofErr w:type="spellEnd"/>
      <w:r w:rsidRPr="001D0959">
        <w:rPr>
          <w:rFonts w:asciiTheme="minorHAnsi" w:hAnsiTheme="minorHAnsi"/>
          <w:szCs w:val="24"/>
        </w:rPr>
        <w:t xml:space="preserve"> voor het Vlaams Administratief Centrum (VAC)</w:t>
      </w:r>
      <w:r w:rsidR="002B189E">
        <w:rPr>
          <w:rFonts w:asciiTheme="minorHAnsi" w:hAnsiTheme="minorHAnsi"/>
          <w:szCs w:val="24"/>
        </w:rPr>
        <w:t xml:space="preserve"> en MG City Station</w:t>
      </w:r>
      <w:r w:rsidRPr="001D0959">
        <w:rPr>
          <w:rFonts w:asciiTheme="minorHAnsi" w:hAnsiTheme="minorHAnsi"/>
          <w:szCs w:val="24"/>
        </w:rPr>
        <w:t xml:space="preserve"> </w:t>
      </w:r>
      <w:r w:rsidR="002B189E">
        <w:rPr>
          <w:rFonts w:asciiTheme="minorHAnsi" w:hAnsiTheme="minorHAnsi"/>
          <w:szCs w:val="24"/>
        </w:rPr>
        <w:t>zijn de</w:t>
      </w:r>
      <w:r w:rsidR="002B189E" w:rsidRPr="001D0959">
        <w:rPr>
          <w:rFonts w:asciiTheme="minorHAnsi" w:hAnsiTheme="minorHAnsi"/>
          <w:szCs w:val="24"/>
        </w:rPr>
        <w:t xml:space="preserve"> </w:t>
      </w:r>
      <w:r w:rsidR="000E0AD7" w:rsidRPr="001D0959">
        <w:rPr>
          <w:rFonts w:asciiTheme="minorHAnsi" w:hAnsiTheme="minorHAnsi"/>
          <w:szCs w:val="24"/>
        </w:rPr>
        <w:t>eerste belangrijke ontwikkeling</w:t>
      </w:r>
      <w:r w:rsidR="002B189E">
        <w:rPr>
          <w:rFonts w:asciiTheme="minorHAnsi" w:hAnsiTheme="minorHAnsi"/>
          <w:szCs w:val="24"/>
        </w:rPr>
        <w:t>en</w:t>
      </w:r>
      <w:r w:rsidR="000E0AD7" w:rsidRPr="001D0959">
        <w:rPr>
          <w:rFonts w:asciiTheme="minorHAnsi" w:hAnsiTheme="minorHAnsi"/>
          <w:szCs w:val="24"/>
        </w:rPr>
        <w:t xml:space="preserve"> gerealiseerd in de onmiddellijke omgeving van het station Gent-St.-Pieters. Dit betreft een </w:t>
      </w:r>
      <w:r w:rsidR="002B189E">
        <w:rPr>
          <w:rFonts w:asciiTheme="minorHAnsi" w:hAnsiTheme="minorHAnsi"/>
          <w:szCs w:val="24"/>
        </w:rPr>
        <w:t xml:space="preserve">gezamenlijke </w:t>
      </w:r>
      <w:r w:rsidR="000E0AD7" w:rsidRPr="001D0959">
        <w:rPr>
          <w:rFonts w:asciiTheme="minorHAnsi" w:hAnsiTheme="minorHAnsi"/>
          <w:szCs w:val="24"/>
        </w:rPr>
        <w:t xml:space="preserve">oppervlakte van ongeveer </w:t>
      </w:r>
      <w:r w:rsidR="002B189E">
        <w:rPr>
          <w:rFonts w:asciiTheme="minorHAnsi" w:hAnsiTheme="minorHAnsi"/>
          <w:szCs w:val="24"/>
        </w:rPr>
        <w:t>42</w:t>
      </w:r>
      <w:r w:rsidR="000E0AD7" w:rsidRPr="001D0959">
        <w:rPr>
          <w:rFonts w:asciiTheme="minorHAnsi" w:hAnsiTheme="minorHAnsi"/>
          <w:szCs w:val="24"/>
        </w:rPr>
        <w:t xml:space="preserve">.000m². </w:t>
      </w:r>
    </w:p>
    <w:p w:rsidR="00257D46" w:rsidRPr="001D0959" w:rsidRDefault="00257D46">
      <w:pPr>
        <w:rPr>
          <w:rFonts w:asciiTheme="minorHAnsi" w:hAnsiTheme="minorHAnsi"/>
          <w:szCs w:val="24"/>
        </w:rPr>
      </w:pPr>
    </w:p>
    <w:p w:rsidR="000C0830" w:rsidRPr="001D0959" w:rsidRDefault="000E0AD7">
      <w:pPr>
        <w:rPr>
          <w:rFonts w:asciiTheme="minorHAnsi" w:hAnsiTheme="minorHAnsi"/>
          <w:szCs w:val="24"/>
        </w:rPr>
      </w:pPr>
      <w:r w:rsidRPr="001D0959">
        <w:rPr>
          <w:rFonts w:asciiTheme="minorHAnsi" w:hAnsiTheme="minorHAnsi"/>
          <w:szCs w:val="24"/>
        </w:rPr>
        <w:t xml:space="preserve">De komende jaren is er nog </w:t>
      </w:r>
      <w:r w:rsidR="002E3833">
        <w:rPr>
          <w:rFonts w:asciiTheme="minorHAnsi" w:hAnsiTheme="minorHAnsi"/>
          <w:szCs w:val="24"/>
        </w:rPr>
        <w:t xml:space="preserve">potentiële </w:t>
      </w:r>
      <w:r w:rsidRPr="001D0959">
        <w:rPr>
          <w:rFonts w:asciiTheme="minorHAnsi" w:hAnsiTheme="minorHAnsi"/>
          <w:szCs w:val="24"/>
        </w:rPr>
        <w:t xml:space="preserve">ruimte voor ongeveer 40.000m² extra kantoorruimte op de site langsheen de Fabiolalaan. </w:t>
      </w:r>
    </w:p>
    <w:p w:rsidR="000E0AD7" w:rsidRPr="001D0959" w:rsidRDefault="000E0AD7">
      <w:pPr>
        <w:rPr>
          <w:rFonts w:asciiTheme="minorHAnsi" w:hAnsiTheme="minorHAnsi"/>
          <w:szCs w:val="24"/>
        </w:rPr>
      </w:pPr>
    </w:p>
    <w:p w:rsidR="000E0AD7" w:rsidRDefault="000E0AD7">
      <w:pPr>
        <w:rPr>
          <w:rFonts w:asciiTheme="minorHAnsi" w:hAnsiTheme="minorHAnsi"/>
          <w:szCs w:val="24"/>
          <w:u w:val="single"/>
        </w:rPr>
      </w:pPr>
      <w:r w:rsidRPr="001D0959">
        <w:rPr>
          <w:rFonts w:asciiTheme="minorHAnsi" w:hAnsiTheme="minorHAnsi"/>
          <w:szCs w:val="24"/>
          <w:u w:val="single"/>
        </w:rPr>
        <w:t>Site The Loop</w:t>
      </w:r>
    </w:p>
    <w:p w:rsidR="00257D46" w:rsidRDefault="000E0AD7">
      <w:pPr>
        <w:rPr>
          <w:rFonts w:asciiTheme="minorHAnsi" w:hAnsiTheme="minorHAnsi"/>
          <w:szCs w:val="24"/>
        </w:rPr>
      </w:pPr>
      <w:r w:rsidRPr="001D0959">
        <w:rPr>
          <w:rFonts w:asciiTheme="minorHAnsi" w:hAnsiTheme="minorHAnsi"/>
          <w:szCs w:val="24"/>
        </w:rPr>
        <w:t xml:space="preserve">Ook op de site van The Loop zijn de eerste nieuwe kantoorgebouwen gerealiseerd. In een eerste fase is er ruimte voor 55.000m² kantoren en 102.000m² </w:t>
      </w:r>
      <w:proofErr w:type="spellStart"/>
      <w:r w:rsidRPr="001D0959">
        <w:rPr>
          <w:rFonts w:asciiTheme="minorHAnsi" w:hAnsiTheme="minorHAnsi"/>
          <w:szCs w:val="24"/>
        </w:rPr>
        <w:t>kantoorachtigen</w:t>
      </w:r>
      <w:proofErr w:type="spellEnd"/>
      <w:r w:rsidRPr="001D0959">
        <w:rPr>
          <w:rFonts w:asciiTheme="minorHAnsi" w:hAnsiTheme="minorHAnsi"/>
          <w:szCs w:val="24"/>
        </w:rPr>
        <w:t xml:space="preserve">. Het eerste gerealiseerde kantoorproject was de bouw van de </w:t>
      </w:r>
      <w:proofErr w:type="spellStart"/>
      <w:r w:rsidRPr="001D0959">
        <w:rPr>
          <w:rFonts w:asciiTheme="minorHAnsi" w:hAnsiTheme="minorHAnsi"/>
          <w:szCs w:val="24"/>
        </w:rPr>
        <w:t>Arteveldetoren</w:t>
      </w:r>
      <w:proofErr w:type="spellEnd"/>
      <w:r w:rsidRPr="001D0959">
        <w:rPr>
          <w:rFonts w:asciiTheme="minorHAnsi" w:hAnsiTheme="minorHAnsi"/>
          <w:szCs w:val="24"/>
        </w:rPr>
        <w:t xml:space="preserve"> voor KBC met een oppervlakte van 21.000m². </w:t>
      </w:r>
      <w:r w:rsidR="002B189E">
        <w:rPr>
          <w:rFonts w:asciiTheme="minorHAnsi" w:hAnsiTheme="minorHAnsi"/>
          <w:szCs w:val="24"/>
        </w:rPr>
        <w:t>V</w:t>
      </w:r>
      <w:r w:rsidRPr="00D14616">
        <w:rPr>
          <w:rFonts w:asciiTheme="minorHAnsi" w:hAnsiTheme="minorHAnsi"/>
          <w:szCs w:val="24"/>
        </w:rPr>
        <w:t xml:space="preserve">erschillende grondeigenaars </w:t>
      </w:r>
      <w:r w:rsidR="002B189E">
        <w:rPr>
          <w:rFonts w:asciiTheme="minorHAnsi" w:hAnsiTheme="minorHAnsi"/>
          <w:szCs w:val="24"/>
        </w:rPr>
        <w:t xml:space="preserve">zijn </w:t>
      </w:r>
      <w:r w:rsidRPr="00D14616">
        <w:rPr>
          <w:rFonts w:asciiTheme="minorHAnsi" w:hAnsiTheme="minorHAnsi"/>
          <w:szCs w:val="24"/>
        </w:rPr>
        <w:t xml:space="preserve">ook gestart met de uitgifte van een aantal </w:t>
      </w:r>
      <w:r w:rsidR="00257D46" w:rsidRPr="00D14616">
        <w:rPr>
          <w:rFonts w:asciiTheme="minorHAnsi" w:hAnsiTheme="minorHAnsi"/>
          <w:szCs w:val="24"/>
        </w:rPr>
        <w:t xml:space="preserve">andere </w:t>
      </w:r>
      <w:r w:rsidRPr="00D14616">
        <w:rPr>
          <w:rFonts w:asciiTheme="minorHAnsi" w:hAnsiTheme="minorHAnsi"/>
          <w:szCs w:val="24"/>
        </w:rPr>
        <w:t xml:space="preserve">ontwikkelingsvelden. </w:t>
      </w:r>
      <w:r w:rsidR="00257D46" w:rsidRPr="00D14616">
        <w:rPr>
          <w:rFonts w:asciiTheme="minorHAnsi" w:hAnsiTheme="minorHAnsi"/>
          <w:szCs w:val="24"/>
        </w:rPr>
        <w:t xml:space="preserve">Dit betreft onder meer de ontwikkeling van het </w:t>
      </w:r>
      <w:proofErr w:type="spellStart"/>
      <w:r w:rsidR="00257D46" w:rsidRPr="00D14616">
        <w:rPr>
          <w:rFonts w:asciiTheme="minorHAnsi" w:hAnsiTheme="minorHAnsi"/>
          <w:szCs w:val="24"/>
        </w:rPr>
        <w:t>Tetris</w:t>
      </w:r>
      <w:proofErr w:type="spellEnd"/>
      <w:r w:rsidR="00257D46" w:rsidRPr="00D14616">
        <w:rPr>
          <w:rFonts w:asciiTheme="minorHAnsi" w:hAnsiTheme="minorHAnsi"/>
          <w:szCs w:val="24"/>
        </w:rPr>
        <w:t xml:space="preserve"> Bedrijvenpark met een oppervlakte van 60.000m² (voor 15.000m² ingenomen met Vlaamse Milieumaatschappij en Deloitte) en de ontwikkeling van het Take Off Office Park met een oppervlakte van 35.000m² (voor </w:t>
      </w:r>
      <w:r w:rsidR="00D14616" w:rsidRPr="00D14616">
        <w:rPr>
          <w:rFonts w:asciiTheme="minorHAnsi" w:hAnsiTheme="minorHAnsi"/>
          <w:szCs w:val="24"/>
        </w:rPr>
        <w:t>8</w:t>
      </w:r>
      <w:r w:rsidR="00257D46" w:rsidRPr="00D14616">
        <w:rPr>
          <w:rFonts w:asciiTheme="minorHAnsi" w:hAnsiTheme="minorHAnsi"/>
          <w:szCs w:val="24"/>
        </w:rPr>
        <w:t>.000m²</w:t>
      </w:r>
      <w:r w:rsidR="002E3833">
        <w:rPr>
          <w:rFonts w:asciiTheme="minorHAnsi" w:hAnsiTheme="minorHAnsi"/>
          <w:szCs w:val="24"/>
        </w:rPr>
        <w:t xml:space="preserve"> ingenomen</w:t>
      </w:r>
      <w:r w:rsidR="00257D46" w:rsidRPr="00D14616">
        <w:rPr>
          <w:rFonts w:asciiTheme="minorHAnsi" w:hAnsiTheme="minorHAnsi"/>
          <w:szCs w:val="24"/>
        </w:rPr>
        <w:t>).</w:t>
      </w:r>
      <w:r w:rsidR="00C62FAF">
        <w:rPr>
          <w:rFonts w:asciiTheme="minorHAnsi" w:hAnsiTheme="minorHAnsi"/>
          <w:szCs w:val="24"/>
        </w:rPr>
        <w:t xml:space="preserve"> </w:t>
      </w:r>
      <w:r w:rsidR="00257D46" w:rsidRPr="00D14616">
        <w:rPr>
          <w:rFonts w:asciiTheme="minorHAnsi" w:hAnsiTheme="minorHAnsi"/>
          <w:szCs w:val="24"/>
        </w:rPr>
        <w:t xml:space="preserve">Van de totale oppervlakte in de eerste fase voor kantoren en </w:t>
      </w:r>
      <w:proofErr w:type="spellStart"/>
      <w:r w:rsidR="00257D46" w:rsidRPr="00D14616">
        <w:rPr>
          <w:rFonts w:asciiTheme="minorHAnsi" w:hAnsiTheme="minorHAnsi"/>
          <w:szCs w:val="24"/>
        </w:rPr>
        <w:t>kantoorachtigen</w:t>
      </w:r>
      <w:proofErr w:type="spellEnd"/>
      <w:r w:rsidR="00257D46" w:rsidRPr="00D14616">
        <w:rPr>
          <w:rFonts w:asciiTheme="minorHAnsi" w:hAnsiTheme="minorHAnsi"/>
          <w:szCs w:val="24"/>
        </w:rPr>
        <w:t xml:space="preserve"> is met bovengenoemde nieuwe kantoorgebouwen tot op heden 25% ingenomen.</w:t>
      </w:r>
    </w:p>
    <w:p w:rsidR="00C62FAF" w:rsidRDefault="00C62FAF">
      <w:pPr>
        <w:rPr>
          <w:rFonts w:asciiTheme="minorHAnsi" w:hAnsiTheme="minorHAnsi"/>
          <w:szCs w:val="24"/>
        </w:rPr>
      </w:pPr>
    </w:p>
    <w:p w:rsidR="00C62FAF" w:rsidRPr="00D14616" w:rsidRDefault="00C62FAF">
      <w:pPr>
        <w:rPr>
          <w:rFonts w:asciiTheme="minorHAnsi" w:hAnsiTheme="minorHAnsi"/>
          <w:szCs w:val="24"/>
        </w:rPr>
      </w:pPr>
      <w:r>
        <w:rPr>
          <w:rFonts w:asciiTheme="minorHAnsi" w:hAnsiTheme="minorHAnsi"/>
          <w:szCs w:val="24"/>
        </w:rPr>
        <w:t xml:space="preserve">Op lange termijn is dan nog een tweede fase voorzien met een bijkomende oppervlakte van 100.000m² kantoren en 47.500m² </w:t>
      </w:r>
      <w:proofErr w:type="spellStart"/>
      <w:r>
        <w:rPr>
          <w:rFonts w:asciiTheme="minorHAnsi" w:hAnsiTheme="minorHAnsi"/>
          <w:szCs w:val="24"/>
        </w:rPr>
        <w:t>kantoorachtigen</w:t>
      </w:r>
      <w:proofErr w:type="spellEnd"/>
      <w:r>
        <w:rPr>
          <w:rFonts w:asciiTheme="minorHAnsi" w:hAnsiTheme="minorHAnsi"/>
          <w:szCs w:val="24"/>
        </w:rPr>
        <w:t>.</w:t>
      </w:r>
    </w:p>
    <w:p w:rsidR="000E0AD7" w:rsidRPr="001D0959" w:rsidRDefault="000E0AD7">
      <w:pPr>
        <w:rPr>
          <w:rFonts w:asciiTheme="minorHAnsi" w:hAnsiTheme="minorHAnsi"/>
          <w:szCs w:val="24"/>
        </w:rPr>
      </w:pPr>
    </w:p>
    <w:p w:rsidR="000C0830" w:rsidRPr="001D0959" w:rsidRDefault="00257D46">
      <w:pPr>
        <w:rPr>
          <w:rFonts w:asciiTheme="minorHAnsi" w:hAnsiTheme="minorHAnsi"/>
          <w:szCs w:val="24"/>
          <w:u w:val="single"/>
        </w:rPr>
      </w:pPr>
      <w:r w:rsidRPr="001D0959">
        <w:rPr>
          <w:rFonts w:asciiTheme="minorHAnsi" w:hAnsiTheme="minorHAnsi"/>
          <w:szCs w:val="24"/>
          <w:u w:val="single"/>
        </w:rPr>
        <w:t xml:space="preserve">Site Oude Dokken en station </w:t>
      </w:r>
      <w:proofErr w:type="spellStart"/>
      <w:r w:rsidRPr="001D0959">
        <w:rPr>
          <w:rFonts w:asciiTheme="minorHAnsi" w:hAnsiTheme="minorHAnsi"/>
          <w:szCs w:val="24"/>
          <w:u w:val="single"/>
        </w:rPr>
        <w:t>Dampoort</w:t>
      </w:r>
      <w:proofErr w:type="spellEnd"/>
    </w:p>
    <w:p w:rsidR="00115AF4" w:rsidRDefault="00115AF4" w:rsidP="00115AF4">
      <w:pPr>
        <w:rPr>
          <w:rFonts w:asciiTheme="minorHAnsi" w:hAnsiTheme="minorHAnsi"/>
          <w:szCs w:val="24"/>
        </w:rPr>
      </w:pPr>
      <w:r w:rsidRPr="001D0959">
        <w:rPr>
          <w:rFonts w:asciiTheme="minorHAnsi" w:hAnsiTheme="minorHAnsi"/>
          <w:szCs w:val="24"/>
        </w:rPr>
        <w:t xml:space="preserve">In totaal is er </w:t>
      </w:r>
      <w:r>
        <w:rPr>
          <w:rFonts w:asciiTheme="minorHAnsi" w:hAnsiTheme="minorHAnsi"/>
          <w:szCs w:val="24"/>
        </w:rPr>
        <w:t xml:space="preserve">binnen het project oude dokken potentiële </w:t>
      </w:r>
      <w:r w:rsidRPr="001D0959">
        <w:rPr>
          <w:rFonts w:asciiTheme="minorHAnsi" w:hAnsiTheme="minorHAnsi"/>
          <w:szCs w:val="24"/>
        </w:rPr>
        <w:t>ruimte voorzien voor ongeveer 35.000m² bijkomende kant</w:t>
      </w:r>
      <w:r>
        <w:rPr>
          <w:rFonts w:asciiTheme="minorHAnsi" w:hAnsiTheme="minorHAnsi"/>
          <w:szCs w:val="24"/>
        </w:rPr>
        <w:t>oren</w:t>
      </w:r>
      <w:r w:rsidRPr="001D0959">
        <w:rPr>
          <w:rFonts w:asciiTheme="minorHAnsi" w:hAnsiTheme="minorHAnsi"/>
          <w:szCs w:val="24"/>
        </w:rPr>
        <w:t xml:space="preserve">. </w:t>
      </w:r>
      <w:r>
        <w:rPr>
          <w:rFonts w:asciiTheme="minorHAnsi" w:hAnsiTheme="minorHAnsi"/>
          <w:szCs w:val="24"/>
        </w:rPr>
        <w:t>Hiervan is met de bouw van de Quantum Building een eerste kantoorgebouw gerealiseerd met een oppervlakte van 9.200m².</w:t>
      </w:r>
    </w:p>
    <w:p w:rsidR="00115AF4" w:rsidRPr="001D0959" w:rsidRDefault="00115AF4" w:rsidP="00115AF4">
      <w:pPr>
        <w:rPr>
          <w:rFonts w:asciiTheme="minorHAnsi" w:hAnsiTheme="minorHAnsi"/>
          <w:szCs w:val="24"/>
        </w:rPr>
      </w:pPr>
    </w:p>
    <w:p w:rsidR="00DC601D" w:rsidRPr="001D0959" w:rsidRDefault="00DC601D">
      <w:pPr>
        <w:rPr>
          <w:rFonts w:asciiTheme="minorHAnsi" w:hAnsiTheme="minorHAnsi"/>
          <w:szCs w:val="24"/>
        </w:rPr>
      </w:pPr>
      <w:r w:rsidRPr="001D0959">
        <w:rPr>
          <w:rFonts w:asciiTheme="minorHAnsi" w:hAnsiTheme="minorHAnsi"/>
          <w:szCs w:val="24"/>
        </w:rPr>
        <w:t xml:space="preserve">In de onmiddellijke omgeving </w:t>
      </w:r>
      <w:r w:rsidR="00B47DC2" w:rsidRPr="001D0959">
        <w:rPr>
          <w:rFonts w:asciiTheme="minorHAnsi" w:hAnsiTheme="minorHAnsi"/>
          <w:szCs w:val="24"/>
        </w:rPr>
        <w:t>werd</w:t>
      </w:r>
      <w:r w:rsidRPr="001D0959">
        <w:rPr>
          <w:rFonts w:asciiTheme="minorHAnsi" w:hAnsiTheme="minorHAnsi"/>
          <w:szCs w:val="24"/>
        </w:rPr>
        <w:t xml:space="preserve"> de voormalige ACEC-site verder ontwikkeld. </w:t>
      </w:r>
      <w:r w:rsidR="00A46815" w:rsidRPr="001D0959">
        <w:rPr>
          <w:rFonts w:asciiTheme="minorHAnsi" w:hAnsiTheme="minorHAnsi"/>
          <w:szCs w:val="24"/>
        </w:rPr>
        <w:t xml:space="preserve">Met de realisatie van Dok Noord werd zo’n </w:t>
      </w:r>
      <w:r w:rsidR="00120D58">
        <w:rPr>
          <w:rFonts w:asciiTheme="minorHAnsi" w:hAnsiTheme="minorHAnsi"/>
          <w:szCs w:val="24"/>
        </w:rPr>
        <w:t>12.0</w:t>
      </w:r>
      <w:r w:rsidR="00A46815" w:rsidRPr="001D0959">
        <w:rPr>
          <w:rFonts w:asciiTheme="minorHAnsi" w:hAnsiTheme="minorHAnsi"/>
          <w:szCs w:val="24"/>
        </w:rPr>
        <w:t>00 m² aan kantoren op de markt gebracht.</w:t>
      </w:r>
    </w:p>
    <w:p w:rsidR="00DC601D" w:rsidRPr="001D0959" w:rsidRDefault="00DC601D">
      <w:pPr>
        <w:rPr>
          <w:rFonts w:asciiTheme="minorHAnsi" w:hAnsiTheme="minorHAnsi"/>
          <w:szCs w:val="24"/>
        </w:rPr>
      </w:pPr>
    </w:p>
    <w:p w:rsidR="000C0830" w:rsidRDefault="00DC601D">
      <w:pPr>
        <w:rPr>
          <w:rFonts w:asciiTheme="minorHAnsi" w:hAnsiTheme="minorHAnsi"/>
          <w:szCs w:val="24"/>
        </w:rPr>
      </w:pPr>
      <w:r w:rsidRPr="001D0959">
        <w:rPr>
          <w:rFonts w:asciiTheme="minorHAnsi" w:hAnsiTheme="minorHAnsi"/>
          <w:szCs w:val="24"/>
        </w:rPr>
        <w:t>Op lange termijn zal er nog een verdere stedelijke verdichting rond het station Gent-</w:t>
      </w:r>
      <w:proofErr w:type="spellStart"/>
      <w:r w:rsidRPr="001D0959">
        <w:rPr>
          <w:rFonts w:asciiTheme="minorHAnsi" w:hAnsiTheme="minorHAnsi"/>
          <w:szCs w:val="24"/>
        </w:rPr>
        <w:t>Dampoort</w:t>
      </w:r>
      <w:proofErr w:type="spellEnd"/>
      <w:r w:rsidRPr="001D0959">
        <w:rPr>
          <w:rFonts w:asciiTheme="minorHAnsi" w:hAnsiTheme="minorHAnsi"/>
          <w:szCs w:val="24"/>
        </w:rPr>
        <w:t xml:space="preserve"> mogelijk zijn</w:t>
      </w:r>
      <w:r w:rsidR="002E3833">
        <w:rPr>
          <w:rFonts w:asciiTheme="minorHAnsi" w:hAnsiTheme="minorHAnsi"/>
          <w:szCs w:val="24"/>
        </w:rPr>
        <w:t xml:space="preserve"> voor onder andere kantoren</w:t>
      </w:r>
      <w:r w:rsidRPr="001D0959">
        <w:rPr>
          <w:rFonts w:asciiTheme="minorHAnsi" w:hAnsiTheme="minorHAnsi"/>
          <w:szCs w:val="24"/>
        </w:rPr>
        <w:t xml:space="preserve">. De ruimtelijke plannen dienen hiervoor nog verder uitgewerkt te worden. </w:t>
      </w:r>
      <w:r w:rsidR="00C62FAF">
        <w:rPr>
          <w:rFonts w:asciiTheme="minorHAnsi" w:hAnsiTheme="minorHAnsi"/>
          <w:szCs w:val="24"/>
        </w:rPr>
        <w:t xml:space="preserve"> Op basis van een voorlopige inschatting zal hier ruimte zijn voor 25.000m² kantoorruimte.</w:t>
      </w:r>
    </w:p>
    <w:p w:rsidR="002E3833" w:rsidRPr="001D0959" w:rsidRDefault="002E3833">
      <w:pPr>
        <w:rPr>
          <w:rFonts w:asciiTheme="minorHAnsi" w:hAnsiTheme="minorHAnsi"/>
          <w:szCs w:val="24"/>
        </w:rPr>
      </w:pPr>
    </w:p>
    <w:p w:rsidR="00DC601D" w:rsidRPr="001D0959" w:rsidRDefault="00DC601D">
      <w:pPr>
        <w:rPr>
          <w:rFonts w:asciiTheme="minorHAnsi" w:hAnsiTheme="minorHAnsi"/>
          <w:szCs w:val="24"/>
          <w:u w:val="single"/>
        </w:rPr>
      </w:pPr>
      <w:r w:rsidRPr="001D0959">
        <w:rPr>
          <w:rFonts w:asciiTheme="minorHAnsi" w:hAnsiTheme="minorHAnsi"/>
          <w:szCs w:val="24"/>
          <w:u w:val="single"/>
        </w:rPr>
        <w:t>Waalse Krook</w:t>
      </w:r>
    </w:p>
    <w:p w:rsidR="00DC601D" w:rsidRPr="001D0959" w:rsidRDefault="00DC601D">
      <w:pPr>
        <w:rPr>
          <w:rFonts w:asciiTheme="minorHAnsi" w:hAnsiTheme="minorHAnsi"/>
          <w:szCs w:val="24"/>
        </w:rPr>
      </w:pPr>
      <w:r w:rsidRPr="00D14616">
        <w:rPr>
          <w:rFonts w:asciiTheme="minorHAnsi" w:hAnsiTheme="minorHAnsi"/>
          <w:szCs w:val="24"/>
        </w:rPr>
        <w:t>Binnen het project van de Waalse Krook met de bouw van de bibliotheek van de 21</w:t>
      </w:r>
      <w:r w:rsidRPr="00D14616">
        <w:rPr>
          <w:rFonts w:asciiTheme="minorHAnsi" w:hAnsiTheme="minorHAnsi"/>
          <w:szCs w:val="24"/>
          <w:vertAlign w:val="superscript"/>
        </w:rPr>
        <w:t>ste</w:t>
      </w:r>
      <w:r w:rsidRPr="00D14616">
        <w:rPr>
          <w:rFonts w:asciiTheme="minorHAnsi" w:hAnsiTheme="minorHAnsi"/>
          <w:szCs w:val="24"/>
        </w:rPr>
        <w:t xml:space="preserve"> eeuw </w:t>
      </w:r>
      <w:r w:rsidR="00B1520E" w:rsidRPr="00D14616">
        <w:rPr>
          <w:rFonts w:asciiTheme="minorHAnsi" w:hAnsiTheme="minorHAnsi"/>
          <w:szCs w:val="24"/>
        </w:rPr>
        <w:t xml:space="preserve">en </w:t>
      </w:r>
      <w:r w:rsidRPr="00D14616">
        <w:rPr>
          <w:rFonts w:asciiTheme="minorHAnsi" w:hAnsiTheme="minorHAnsi"/>
          <w:szCs w:val="24"/>
        </w:rPr>
        <w:t xml:space="preserve">met de ontwikkeling van het Wintercircus bijkomende kantoorruimte voorzien van ongeveer </w:t>
      </w:r>
      <w:r w:rsidR="00D14616" w:rsidRPr="00D14616">
        <w:rPr>
          <w:rFonts w:asciiTheme="minorHAnsi" w:hAnsiTheme="minorHAnsi"/>
          <w:szCs w:val="24"/>
        </w:rPr>
        <w:t xml:space="preserve">7.500 </w:t>
      </w:r>
      <w:r w:rsidRPr="00D14616">
        <w:rPr>
          <w:rFonts w:asciiTheme="minorHAnsi" w:hAnsiTheme="minorHAnsi"/>
          <w:szCs w:val="24"/>
        </w:rPr>
        <w:t>m².</w:t>
      </w:r>
      <w:r w:rsidR="00B1520E" w:rsidRPr="00D14616">
        <w:rPr>
          <w:rFonts w:asciiTheme="minorHAnsi" w:hAnsiTheme="minorHAnsi"/>
          <w:szCs w:val="24"/>
        </w:rPr>
        <w:t xml:space="preserve"> (3</w:t>
      </w:r>
      <w:r w:rsidR="00D14616" w:rsidRPr="00D14616">
        <w:rPr>
          <w:rFonts w:asciiTheme="minorHAnsi" w:hAnsiTheme="minorHAnsi"/>
          <w:szCs w:val="24"/>
        </w:rPr>
        <w:t>.</w:t>
      </w:r>
      <w:r w:rsidR="00115AF4" w:rsidRPr="00D14616">
        <w:rPr>
          <w:rFonts w:asciiTheme="minorHAnsi" w:hAnsiTheme="minorHAnsi"/>
          <w:szCs w:val="24"/>
        </w:rPr>
        <w:t>0</w:t>
      </w:r>
      <w:r w:rsidR="00115AF4">
        <w:rPr>
          <w:rFonts w:asciiTheme="minorHAnsi" w:hAnsiTheme="minorHAnsi"/>
          <w:szCs w:val="24"/>
        </w:rPr>
        <w:t>0</w:t>
      </w:r>
      <w:r w:rsidR="00115AF4" w:rsidRPr="00D14616">
        <w:rPr>
          <w:rFonts w:asciiTheme="minorHAnsi" w:hAnsiTheme="minorHAnsi"/>
          <w:szCs w:val="24"/>
        </w:rPr>
        <w:t xml:space="preserve">0 </w:t>
      </w:r>
      <w:r w:rsidR="00B1520E" w:rsidRPr="00D14616">
        <w:rPr>
          <w:rFonts w:asciiTheme="minorHAnsi" w:hAnsiTheme="minorHAnsi"/>
          <w:szCs w:val="24"/>
        </w:rPr>
        <w:t xml:space="preserve">m² Krook – </w:t>
      </w:r>
      <w:r w:rsidR="00D14616" w:rsidRPr="00D14616">
        <w:rPr>
          <w:rFonts w:asciiTheme="minorHAnsi" w:hAnsiTheme="minorHAnsi"/>
          <w:szCs w:val="24"/>
        </w:rPr>
        <w:t xml:space="preserve">4.500 m² </w:t>
      </w:r>
      <w:r w:rsidR="00B1520E" w:rsidRPr="00D14616">
        <w:rPr>
          <w:rFonts w:asciiTheme="minorHAnsi" w:hAnsiTheme="minorHAnsi"/>
          <w:szCs w:val="24"/>
        </w:rPr>
        <w:t>Wintercircus</w:t>
      </w:r>
      <w:r w:rsidR="00B1520E">
        <w:rPr>
          <w:rFonts w:asciiTheme="minorHAnsi" w:hAnsiTheme="minorHAnsi"/>
          <w:szCs w:val="24"/>
        </w:rPr>
        <w:t>).</w:t>
      </w:r>
      <w:r w:rsidR="002B189E">
        <w:rPr>
          <w:rFonts w:asciiTheme="minorHAnsi" w:hAnsiTheme="minorHAnsi"/>
          <w:szCs w:val="24"/>
        </w:rPr>
        <w:t xml:space="preserve"> De Krook wordt officieel geopend in maart 2017.</w:t>
      </w:r>
    </w:p>
    <w:p w:rsidR="00DC601D" w:rsidRPr="001D0959" w:rsidRDefault="00DC601D">
      <w:pPr>
        <w:rPr>
          <w:rFonts w:asciiTheme="minorHAnsi" w:hAnsiTheme="minorHAnsi"/>
          <w:szCs w:val="24"/>
        </w:rPr>
      </w:pPr>
    </w:p>
    <w:p w:rsidR="00DC601D" w:rsidRPr="001D0959" w:rsidRDefault="00DC601D">
      <w:pPr>
        <w:rPr>
          <w:rFonts w:asciiTheme="minorHAnsi" w:hAnsiTheme="minorHAnsi"/>
          <w:szCs w:val="24"/>
          <w:u w:val="single"/>
        </w:rPr>
      </w:pPr>
      <w:proofErr w:type="spellStart"/>
      <w:r w:rsidRPr="001D0959">
        <w:rPr>
          <w:rFonts w:asciiTheme="minorHAnsi" w:hAnsiTheme="minorHAnsi"/>
          <w:szCs w:val="24"/>
          <w:u w:val="single"/>
        </w:rPr>
        <w:t>Leopoldskazerne</w:t>
      </w:r>
      <w:proofErr w:type="spellEnd"/>
    </w:p>
    <w:p w:rsidR="00DC601D" w:rsidRPr="001D0959" w:rsidRDefault="00DC601D">
      <w:pPr>
        <w:rPr>
          <w:rFonts w:asciiTheme="minorHAnsi" w:hAnsiTheme="minorHAnsi"/>
          <w:szCs w:val="24"/>
        </w:rPr>
      </w:pPr>
      <w:r w:rsidRPr="001D0959">
        <w:rPr>
          <w:rFonts w:asciiTheme="minorHAnsi" w:hAnsiTheme="minorHAnsi"/>
          <w:szCs w:val="24"/>
        </w:rPr>
        <w:t xml:space="preserve">De Provincie Oost-Vlaanderen heeft de intentie om haar verschillende diensten te centraliseren op de </w:t>
      </w:r>
      <w:proofErr w:type="spellStart"/>
      <w:r w:rsidRPr="001D0959">
        <w:rPr>
          <w:rFonts w:asciiTheme="minorHAnsi" w:hAnsiTheme="minorHAnsi"/>
          <w:szCs w:val="24"/>
        </w:rPr>
        <w:t>Leopoldskazerne</w:t>
      </w:r>
      <w:proofErr w:type="spellEnd"/>
      <w:r w:rsidRPr="001D0959">
        <w:rPr>
          <w:rFonts w:asciiTheme="minorHAnsi" w:hAnsiTheme="minorHAnsi"/>
          <w:szCs w:val="24"/>
        </w:rPr>
        <w:t>. Naar schatting zal dit gaan om de inpassing van ongeveer 20.000m² nieuwe kantoren op deze site.</w:t>
      </w:r>
      <w:r w:rsidR="002B189E">
        <w:rPr>
          <w:rFonts w:asciiTheme="minorHAnsi" w:hAnsiTheme="minorHAnsi"/>
          <w:szCs w:val="24"/>
        </w:rPr>
        <w:t xml:space="preserve"> De Stad Gent heeft haar deel van de </w:t>
      </w:r>
      <w:proofErr w:type="spellStart"/>
      <w:r w:rsidR="002B189E">
        <w:rPr>
          <w:rFonts w:asciiTheme="minorHAnsi" w:hAnsiTheme="minorHAnsi"/>
          <w:szCs w:val="24"/>
        </w:rPr>
        <w:t>Leopoldskazerne</w:t>
      </w:r>
      <w:proofErr w:type="spellEnd"/>
      <w:r w:rsidR="002B189E">
        <w:rPr>
          <w:rFonts w:asciiTheme="minorHAnsi" w:hAnsiTheme="minorHAnsi"/>
          <w:szCs w:val="24"/>
        </w:rPr>
        <w:t xml:space="preserve"> in oktober 2016 verkocht aan de Provincie.</w:t>
      </w:r>
    </w:p>
    <w:p w:rsidR="00DC601D" w:rsidRDefault="00DC601D">
      <w:pPr>
        <w:rPr>
          <w:rFonts w:asciiTheme="minorHAnsi" w:hAnsiTheme="minorHAnsi"/>
          <w:szCs w:val="24"/>
        </w:rPr>
      </w:pPr>
    </w:p>
    <w:p w:rsidR="002B189E" w:rsidRPr="001D0959" w:rsidRDefault="002B189E">
      <w:pPr>
        <w:rPr>
          <w:rFonts w:asciiTheme="minorHAnsi" w:hAnsiTheme="minorHAnsi"/>
          <w:szCs w:val="24"/>
        </w:rPr>
      </w:pPr>
    </w:p>
    <w:p w:rsidR="006D3A1C" w:rsidRDefault="006D3A1C">
      <w:pPr>
        <w:rPr>
          <w:rFonts w:asciiTheme="minorHAnsi" w:hAnsiTheme="minorHAnsi"/>
          <w:szCs w:val="24"/>
        </w:rPr>
      </w:pPr>
      <w:r w:rsidRPr="001D0959">
        <w:rPr>
          <w:rFonts w:asciiTheme="minorHAnsi" w:hAnsiTheme="minorHAnsi"/>
          <w:szCs w:val="24"/>
        </w:rPr>
        <w:t>Op korte en middellange termijn</w:t>
      </w:r>
      <w:r w:rsidR="001E1970" w:rsidRPr="001D0959">
        <w:rPr>
          <w:rFonts w:asciiTheme="minorHAnsi" w:hAnsiTheme="minorHAnsi"/>
          <w:szCs w:val="24"/>
        </w:rPr>
        <w:t xml:space="preserve"> (201</w:t>
      </w:r>
      <w:r w:rsidR="002B189E">
        <w:rPr>
          <w:rFonts w:asciiTheme="minorHAnsi" w:hAnsiTheme="minorHAnsi"/>
          <w:szCs w:val="24"/>
        </w:rPr>
        <w:t>7</w:t>
      </w:r>
      <w:r w:rsidR="001E1970" w:rsidRPr="001D0959">
        <w:rPr>
          <w:rFonts w:asciiTheme="minorHAnsi" w:hAnsiTheme="minorHAnsi"/>
          <w:szCs w:val="24"/>
        </w:rPr>
        <w:t>-</w:t>
      </w:r>
      <w:r w:rsidR="002E3833" w:rsidRPr="001D0959">
        <w:rPr>
          <w:rFonts w:asciiTheme="minorHAnsi" w:hAnsiTheme="minorHAnsi"/>
          <w:szCs w:val="24"/>
        </w:rPr>
        <w:t>20</w:t>
      </w:r>
      <w:r w:rsidR="002E3833">
        <w:rPr>
          <w:rFonts w:asciiTheme="minorHAnsi" w:hAnsiTheme="minorHAnsi"/>
          <w:szCs w:val="24"/>
        </w:rPr>
        <w:t>30</w:t>
      </w:r>
      <w:r w:rsidR="001E1970" w:rsidRPr="001D0959">
        <w:rPr>
          <w:rFonts w:asciiTheme="minorHAnsi" w:hAnsiTheme="minorHAnsi"/>
          <w:szCs w:val="24"/>
        </w:rPr>
        <w:t>)</w:t>
      </w:r>
      <w:r w:rsidRPr="001D0959">
        <w:rPr>
          <w:rFonts w:asciiTheme="minorHAnsi" w:hAnsiTheme="minorHAnsi"/>
          <w:szCs w:val="24"/>
        </w:rPr>
        <w:t xml:space="preserve"> is er de komende jaren een bijkomende oppervlakte voor kantoren en </w:t>
      </w:r>
      <w:proofErr w:type="spellStart"/>
      <w:r w:rsidRPr="001D0959">
        <w:rPr>
          <w:rFonts w:asciiTheme="minorHAnsi" w:hAnsiTheme="minorHAnsi"/>
          <w:szCs w:val="24"/>
        </w:rPr>
        <w:t>kantoorachtigen</w:t>
      </w:r>
      <w:proofErr w:type="spellEnd"/>
      <w:r w:rsidRPr="001D0959">
        <w:rPr>
          <w:rFonts w:asciiTheme="minorHAnsi" w:hAnsiTheme="minorHAnsi"/>
          <w:szCs w:val="24"/>
        </w:rPr>
        <w:t xml:space="preserve"> mogelijk </w:t>
      </w:r>
      <w:r w:rsidR="00BE166D">
        <w:rPr>
          <w:rFonts w:asciiTheme="minorHAnsi" w:hAnsiTheme="minorHAnsi"/>
          <w:szCs w:val="24"/>
        </w:rPr>
        <w:t xml:space="preserve">van </w:t>
      </w:r>
      <w:r w:rsidR="00115AF4">
        <w:rPr>
          <w:rFonts w:asciiTheme="minorHAnsi" w:hAnsiTheme="minorHAnsi"/>
          <w:szCs w:val="24"/>
        </w:rPr>
        <w:t>185</w:t>
      </w:r>
      <w:r w:rsidRPr="001D0959">
        <w:rPr>
          <w:rFonts w:asciiTheme="minorHAnsi" w:hAnsiTheme="minorHAnsi"/>
          <w:szCs w:val="24"/>
        </w:rPr>
        <w:t>.000m²</w:t>
      </w:r>
      <w:r w:rsidR="00115AF4">
        <w:rPr>
          <w:rFonts w:asciiTheme="minorHAnsi" w:hAnsiTheme="minorHAnsi"/>
          <w:szCs w:val="24"/>
        </w:rPr>
        <w:t xml:space="preserve"> à 200.000m²</w:t>
      </w:r>
      <w:r w:rsidRPr="001D0959">
        <w:rPr>
          <w:rFonts w:asciiTheme="minorHAnsi" w:hAnsiTheme="minorHAnsi"/>
          <w:szCs w:val="24"/>
        </w:rPr>
        <w:t>.</w:t>
      </w:r>
      <w:r w:rsidR="001E1970" w:rsidRPr="001D0959">
        <w:rPr>
          <w:rFonts w:asciiTheme="minorHAnsi" w:hAnsiTheme="minorHAnsi"/>
          <w:szCs w:val="24"/>
        </w:rPr>
        <w:t xml:space="preserve"> Dit is in verhouding met de netto-aangroei van de kantorenmarkt de afgelopen 10 jaar. Specifiek</w:t>
      </w:r>
      <w:r w:rsidRPr="001D0959">
        <w:rPr>
          <w:rFonts w:asciiTheme="minorHAnsi" w:hAnsiTheme="minorHAnsi"/>
          <w:szCs w:val="24"/>
        </w:rPr>
        <w:t xml:space="preserve"> gaat </w:t>
      </w:r>
      <w:r w:rsidR="001E1970" w:rsidRPr="001D0959">
        <w:rPr>
          <w:rFonts w:asciiTheme="minorHAnsi" w:hAnsiTheme="minorHAnsi"/>
          <w:szCs w:val="24"/>
        </w:rPr>
        <w:t xml:space="preserve">dit </w:t>
      </w:r>
      <w:r w:rsidRPr="001D0959">
        <w:rPr>
          <w:rFonts w:asciiTheme="minorHAnsi" w:hAnsiTheme="minorHAnsi"/>
          <w:szCs w:val="24"/>
        </w:rPr>
        <w:t xml:space="preserve">om de </w:t>
      </w:r>
      <w:r w:rsidR="001E1970" w:rsidRPr="001D0959">
        <w:rPr>
          <w:rFonts w:asciiTheme="minorHAnsi" w:hAnsiTheme="minorHAnsi"/>
          <w:szCs w:val="24"/>
        </w:rPr>
        <w:t xml:space="preserve">verdere </w:t>
      </w:r>
      <w:r w:rsidRPr="001D0959">
        <w:rPr>
          <w:rFonts w:asciiTheme="minorHAnsi" w:hAnsiTheme="minorHAnsi"/>
          <w:szCs w:val="24"/>
        </w:rPr>
        <w:t xml:space="preserve">ontwikkeling van een aantal strategische locaties zoals </w:t>
      </w:r>
      <w:r w:rsidR="00A46815" w:rsidRPr="001D0959">
        <w:rPr>
          <w:rFonts w:asciiTheme="minorHAnsi" w:hAnsiTheme="minorHAnsi"/>
          <w:szCs w:val="24"/>
        </w:rPr>
        <w:t xml:space="preserve">het </w:t>
      </w:r>
      <w:r w:rsidRPr="001D0959">
        <w:rPr>
          <w:rFonts w:asciiTheme="minorHAnsi" w:hAnsiTheme="minorHAnsi"/>
          <w:szCs w:val="24"/>
        </w:rPr>
        <w:t>station Gent-St.-Piet</w:t>
      </w:r>
      <w:r w:rsidR="001E1970" w:rsidRPr="001D0959">
        <w:rPr>
          <w:rFonts w:asciiTheme="minorHAnsi" w:hAnsiTheme="minorHAnsi"/>
          <w:szCs w:val="24"/>
        </w:rPr>
        <w:t>ers</w:t>
      </w:r>
      <w:r w:rsidR="00BE166D">
        <w:rPr>
          <w:rFonts w:asciiTheme="minorHAnsi" w:hAnsiTheme="minorHAnsi"/>
          <w:szCs w:val="24"/>
        </w:rPr>
        <w:t>, De Krook</w:t>
      </w:r>
      <w:r w:rsidR="001E1970" w:rsidRPr="001D0959">
        <w:rPr>
          <w:rFonts w:asciiTheme="minorHAnsi" w:hAnsiTheme="minorHAnsi"/>
          <w:szCs w:val="24"/>
        </w:rPr>
        <w:t xml:space="preserve"> en </w:t>
      </w:r>
      <w:r w:rsidRPr="001D0959">
        <w:rPr>
          <w:rFonts w:asciiTheme="minorHAnsi" w:hAnsiTheme="minorHAnsi"/>
          <w:szCs w:val="24"/>
        </w:rPr>
        <w:t>The Loop</w:t>
      </w:r>
      <w:r w:rsidR="00115AF4">
        <w:rPr>
          <w:rFonts w:asciiTheme="minorHAnsi" w:hAnsiTheme="minorHAnsi"/>
          <w:szCs w:val="24"/>
        </w:rPr>
        <w:t xml:space="preserve"> en de centralisatie van de provinciale diensten in de </w:t>
      </w:r>
      <w:proofErr w:type="spellStart"/>
      <w:r w:rsidR="00115AF4">
        <w:rPr>
          <w:rFonts w:asciiTheme="minorHAnsi" w:hAnsiTheme="minorHAnsi"/>
          <w:szCs w:val="24"/>
        </w:rPr>
        <w:t>Leopoldskazerne</w:t>
      </w:r>
      <w:proofErr w:type="spellEnd"/>
      <w:r w:rsidRPr="001D0959">
        <w:rPr>
          <w:rFonts w:asciiTheme="minorHAnsi" w:hAnsiTheme="minorHAnsi"/>
          <w:szCs w:val="24"/>
        </w:rPr>
        <w:t>.</w:t>
      </w:r>
    </w:p>
    <w:p w:rsidR="00C62FAF" w:rsidRDefault="00C62FAF">
      <w:pPr>
        <w:rPr>
          <w:rFonts w:asciiTheme="minorHAnsi" w:hAnsiTheme="minorHAnsi"/>
          <w:szCs w:val="24"/>
        </w:rPr>
      </w:pPr>
    </w:p>
    <w:p w:rsidR="00C62FAF" w:rsidRPr="001D0959" w:rsidRDefault="00C62FAF">
      <w:pPr>
        <w:rPr>
          <w:rFonts w:asciiTheme="minorHAnsi" w:hAnsiTheme="minorHAnsi"/>
          <w:szCs w:val="24"/>
        </w:rPr>
      </w:pPr>
      <w:r>
        <w:rPr>
          <w:rFonts w:asciiTheme="minorHAnsi" w:hAnsiTheme="minorHAnsi"/>
          <w:szCs w:val="24"/>
        </w:rPr>
        <w:t xml:space="preserve">Op lange termijn wordt er nog een bijkomende oppervlakte voor kantoren en </w:t>
      </w:r>
      <w:proofErr w:type="spellStart"/>
      <w:r>
        <w:rPr>
          <w:rFonts w:asciiTheme="minorHAnsi" w:hAnsiTheme="minorHAnsi"/>
          <w:szCs w:val="24"/>
        </w:rPr>
        <w:t>kantoorachtigen</w:t>
      </w:r>
      <w:proofErr w:type="spellEnd"/>
      <w:r>
        <w:rPr>
          <w:rFonts w:asciiTheme="minorHAnsi" w:hAnsiTheme="minorHAnsi"/>
          <w:szCs w:val="24"/>
        </w:rPr>
        <w:t xml:space="preserve"> voorzien van ongeveer 175.000m².</w:t>
      </w:r>
    </w:p>
    <w:p w:rsidR="006D3A1C" w:rsidRPr="001D0959" w:rsidRDefault="006D3A1C">
      <w:pPr>
        <w:rPr>
          <w:rFonts w:asciiTheme="minorHAnsi" w:hAnsiTheme="minorHAnsi"/>
          <w:szCs w:val="24"/>
        </w:rPr>
      </w:pPr>
    </w:p>
    <w:p w:rsidR="000C0830" w:rsidRPr="001D0959" w:rsidRDefault="000C0830">
      <w:pPr>
        <w:rPr>
          <w:rFonts w:asciiTheme="minorHAnsi" w:hAnsiTheme="minorHAnsi"/>
          <w:szCs w:val="24"/>
        </w:rPr>
      </w:pPr>
    </w:p>
    <w:p w:rsidR="002E17E6" w:rsidRPr="001D0959" w:rsidRDefault="002E17E6">
      <w:pPr>
        <w:rPr>
          <w:rFonts w:asciiTheme="minorHAnsi" w:hAnsiTheme="minorHAnsi"/>
          <w:b/>
          <w:szCs w:val="24"/>
          <w:u w:val="single"/>
        </w:rPr>
      </w:pPr>
    </w:p>
    <w:sectPr w:rsidR="002E17E6" w:rsidRPr="001D0959" w:rsidSect="009E0DC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DB" w:rsidRDefault="006249DB" w:rsidP="0071172C">
      <w:r>
        <w:separator/>
      </w:r>
    </w:p>
  </w:endnote>
  <w:endnote w:type="continuationSeparator" w:id="0">
    <w:p w:rsidR="006249DB" w:rsidRDefault="006249DB" w:rsidP="0071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2C" w:rsidRPr="001D0959" w:rsidRDefault="0071172C">
    <w:pPr>
      <w:pStyle w:val="Voettekst"/>
      <w:pBdr>
        <w:top w:val="thinThickSmallGap" w:sz="24" w:space="1" w:color="622423" w:themeColor="accent2" w:themeShade="7F"/>
      </w:pBdr>
      <w:rPr>
        <w:rFonts w:asciiTheme="minorHAnsi" w:eastAsiaTheme="majorEastAsia" w:hAnsiTheme="minorHAnsi" w:cstheme="majorBidi"/>
      </w:rPr>
    </w:pPr>
    <w:r w:rsidRPr="001D0959">
      <w:rPr>
        <w:rFonts w:asciiTheme="minorHAnsi" w:eastAsiaTheme="majorEastAsia" w:hAnsiTheme="minorHAnsi" w:cstheme="majorBidi"/>
      </w:rPr>
      <w:t>januari 20</w:t>
    </w:r>
    <w:r w:rsidR="002C1565">
      <w:rPr>
        <w:rFonts w:asciiTheme="minorHAnsi" w:eastAsiaTheme="majorEastAsia" w:hAnsiTheme="minorHAnsi" w:cstheme="majorBidi"/>
      </w:rPr>
      <w:t>17</w:t>
    </w:r>
    <w:r w:rsidRPr="001D0959">
      <w:rPr>
        <w:rFonts w:asciiTheme="minorHAnsi" w:eastAsiaTheme="majorEastAsia" w:hAnsiTheme="minorHAnsi" w:cstheme="majorBidi"/>
      </w:rPr>
      <w:ptab w:relativeTo="margin" w:alignment="right" w:leader="none"/>
    </w:r>
    <w:r w:rsidRPr="001D0959">
      <w:rPr>
        <w:rFonts w:asciiTheme="minorHAnsi" w:eastAsiaTheme="majorEastAsia" w:hAnsiTheme="minorHAnsi" w:cstheme="majorBidi"/>
        <w:lang w:val="nl-NL"/>
      </w:rPr>
      <w:t xml:space="preserve">Pagina </w:t>
    </w:r>
    <w:r w:rsidR="00AA6D3C" w:rsidRPr="001D0959">
      <w:rPr>
        <w:rFonts w:asciiTheme="minorHAnsi" w:eastAsiaTheme="minorEastAsia" w:hAnsiTheme="minorHAnsi"/>
      </w:rPr>
      <w:fldChar w:fldCharType="begin"/>
    </w:r>
    <w:r w:rsidRPr="001D0959">
      <w:rPr>
        <w:rFonts w:asciiTheme="minorHAnsi" w:hAnsiTheme="minorHAnsi"/>
      </w:rPr>
      <w:instrText>PAGE   \* MERGEFORMAT</w:instrText>
    </w:r>
    <w:r w:rsidR="00AA6D3C" w:rsidRPr="001D0959">
      <w:rPr>
        <w:rFonts w:asciiTheme="minorHAnsi" w:eastAsiaTheme="minorEastAsia" w:hAnsiTheme="minorHAnsi"/>
      </w:rPr>
      <w:fldChar w:fldCharType="separate"/>
    </w:r>
    <w:r w:rsidR="009E59FE" w:rsidRPr="009E59FE">
      <w:rPr>
        <w:rFonts w:asciiTheme="minorHAnsi" w:eastAsiaTheme="majorEastAsia" w:hAnsiTheme="minorHAnsi" w:cstheme="majorBidi"/>
        <w:noProof/>
        <w:lang w:val="nl-NL"/>
      </w:rPr>
      <w:t>1</w:t>
    </w:r>
    <w:r w:rsidR="00AA6D3C" w:rsidRPr="001D0959">
      <w:rPr>
        <w:rFonts w:asciiTheme="minorHAnsi" w:eastAsiaTheme="majorEastAsia" w:hAnsiTheme="minorHAnsi" w:cstheme="majorBidi"/>
      </w:rPr>
      <w:fldChar w:fldCharType="end"/>
    </w:r>
  </w:p>
  <w:p w:rsidR="0071172C" w:rsidRDefault="007117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DB" w:rsidRDefault="006249DB" w:rsidP="0071172C">
      <w:r>
        <w:separator/>
      </w:r>
    </w:p>
  </w:footnote>
  <w:footnote w:type="continuationSeparator" w:id="0">
    <w:p w:rsidR="006249DB" w:rsidRDefault="006249DB" w:rsidP="0071172C">
      <w:r>
        <w:continuationSeparator/>
      </w:r>
    </w:p>
  </w:footnote>
  <w:footnote w:id="1">
    <w:p w:rsidR="0071172C" w:rsidRPr="001D0959" w:rsidRDefault="0071172C">
      <w:pPr>
        <w:pStyle w:val="Voetnoottekst"/>
        <w:rPr>
          <w:rFonts w:asciiTheme="minorHAnsi" w:hAnsiTheme="minorHAnsi"/>
        </w:rPr>
      </w:pPr>
      <w:r w:rsidRPr="001D0959">
        <w:rPr>
          <w:rStyle w:val="Voetnootmarkering"/>
          <w:rFonts w:asciiTheme="minorHAnsi" w:hAnsiTheme="minorHAnsi"/>
        </w:rPr>
        <w:footnoteRef/>
      </w:r>
      <w:r w:rsidRPr="001D0959">
        <w:rPr>
          <w:rFonts w:asciiTheme="minorHAnsi" w:hAnsiTheme="minorHAnsi"/>
        </w:rPr>
        <w:t xml:space="preserve"> Deze regionale kantorenmarkt situeert zich in hoofdzaak op grondgebied Gent en delen van </w:t>
      </w:r>
      <w:proofErr w:type="spellStart"/>
      <w:r w:rsidRPr="001D0959">
        <w:rPr>
          <w:rFonts w:asciiTheme="minorHAnsi" w:hAnsiTheme="minorHAnsi"/>
        </w:rPr>
        <w:t>Merelbeke</w:t>
      </w:r>
      <w:proofErr w:type="spellEnd"/>
      <w:r w:rsidRPr="001D0959">
        <w:rPr>
          <w:rFonts w:asciiTheme="minorHAnsi" w:hAnsiTheme="minorHAnsi"/>
        </w:rPr>
        <w:t>, Melle en St.-Martens-</w:t>
      </w:r>
      <w:proofErr w:type="spellStart"/>
      <w:r w:rsidRPr="001D0959">
        <w:rPr>
          <w:rFonts w:asciiTheme="minorHAnsi" w:hAnsiTheme="minorHAnsi"/>
        </w:rPr>
        <w:t>Latem</w:t>
      </w:r>
      <w:proofErr w:type="spellEnd"/>
      <w:r w:rsidRPr="001D0959">
        <w:rPr>
          <w:rFonts w:asciiTheme="minorHAnsi" w:hAnsi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272FD"/>
    <w:multiLevelType w:val="multilevel"/>
    <w:tmpl w:val="4750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CF"/>
    <w:rsid w:val="0000546D"/>
    <w:rsid w:val="00034766"/>
    <w:rsid w:val="00062EA3"/>
    <w:rsid w:val="00083B43"/>
    <w:rsid w:val="0009113C"/>
    <w:rsid w:val="000C0641"/>
    <w:rsid w:val="000C0830"/>
    <w:rsid w:val="000C705F"/>
    <w:rsid w:val="000E0AD7"/>
    <w:rsid w:val="00115AF4"/>
    <w:rsid w:val="00120D58"/>
    <w:rsid w:val="001701F1"/>
    <w:rsid w:val="001D0959"/>
    <w:rsid w:val="001E1970"/>
    <w:rsid w:val="001F6499"/>
    <w:rsid w:val="00225551"/>
    <w:rsid w:val="00232C74"/>
    <w:rsid w:val="00232DFA"/>
    <w:rsid w:val="00247B51"/>
    <w:rsid w:val="002549C1"/>
    <w:rsid w:val="00257D46"/>
    <w:rsid w:val="00284DA4"/>
    <w:rsid w:val="00297D27"/>
    <w:rsid w:val="002B0743"/>
    <w:rsid w:val="002B189E"/>
    <w:rsid w:val="002B4A7D"/>
    <w:rsid w:val="002C1565"/>
    <w:rsid w:val="002D2E1F"/>
    <w:rsid w:val="002E0ACF"/>
    <w:rsid w:val="002E17E6"/>
    <w:rsid w:val="002E3833"/>
    <w:rsid w:val="0030021B"/>
    <w:rsid w:val="00313829"/>
    <w:rsid w:val="003476EF"/>
    <w:rsid w:val="0036201C"/>
    <w:rsid w:val="003A66AE"/>
    <w:rsid w:val="003B7958"/>
    <w:rsid w:val="003C0165"/>
    <w:rsid w:val="003C2093"/>
    <w:rsid w:val="003D6C6A"/>
    <w:rsid w:val="00484151"/>
    <w:rsid w:val="004936E9"/>
    <w:rsid w:val="004F445E"/>
    <w:rsid w:val="00525140"/>
    <w:rsid w:val="00553142"/>
    <w:rsid w:val="0057322A"/>
    <w:rsid w:val="00592EA6"/>
    <w:rsid w:val="005C419E"/>
    <w:rsid w:val="00606843"/>
    <w:rsid w:val="006249DB"/>
    <w:rsid w:val="006B4E0C"/>
    <w:rsid w:val="006D3A1C"/>
    <w:rsid w:val="00701ACC"/>
    <w:rsid w:val="0071172C"/>
    <w:rsid w:val="007202EE"/>
    <w:rsid w:val="007243CB"/>
    <w:rsid w:val="007279F0"/>
    <w:rsid w:val="0074747B"/>
    <w:rsid w:val="007E0D3A"/>
    <w:rsid w:val="00830E6F"/>
    <w:rsid w:val="008867A3"/>
    <w:rsid w:val="008D5FA6"/>
    <w:rsid w:val="008E2167"/>
    <w:rsid w:val="008F0ACE"/>
    <w:rsid w:val="00936406"/>
    <w:rsid w:val="00941DE8"/>
    <w:rsid w:val="00957BAD"/>
    <w:rsid w:val="009814B5"/>
    <w:rsid w:val="009B4F8F"/>
    <w:rsid w:val="009C40C3"/>
    <w:rsid w:val="009E0DC3"/>
    <w:rsid w:val="009E59FE"/>
    <w:rsid w:val="009F47DC"/>
    <w:rsid w:val="00A20663"/>
    <w:rsid w:val="00A37BC0"/>
    <w:rsid w:val="00A46815"/>
    <w:rsid w:val="00A86122"/>
    <w:rsid w:val="00AA6D3C"/>
    <w:rsid w:val="00AC5D28"/>
    <w:rsid w:val="00AD7F5E"/>
    <w:rsid w:val="00AE465F"/>
    <w:rsid w:val="00AF56DB"/>
    <w:rsid w:val="00B1520E"/>
    <w:rsid w:val="00B167F8"/>
    <w:rsid w:val="00B27427"/>
    <w:rsid w:val="00B41315"/>
    <w:rsid w:val="00B47DC2"/>
    <w:rsid w:val="00B66E7D"/>
    <w:rsid w:val="00B75B1B"/>
    <w:rsid w:val="00B77E1D"/>
    <w:rsid w:val="00B90B6B"/>
    <w:rsid w:val="00BA7112"/>
    <w:rsid w:val="00BB4A15"/>
    <w:rsid w:val="00BD1D30"/>
    <w:rsid w:val="00BE166D"/>
    <w:rsid w:val="00C515E1"/>
    <w:rsid w:val="00C62FAF"/>
    <w:rsid w:val="00C9060F"/>
    <w:rsid w:val="00CA5BA7"/>
    <w:rsid w:val="00CC56A7"/>
    <w:rsid w:val="00CD1398"/>
    <w:rsid w:val="00CD56F5"/>
    <w:rsid w:val="00CF3B31"/>
    <w:rsid w:val="00CF76CF"/>
    <w:rsid w:val="00D14616"/>
    <w:rsid w:val="00D40CE1"/>
    <w:rsid w:val="00D526EC"/>
    <w:rsid w:val="00DB196A"/>
    <w:rsid w:val="00DC601D"/>
    <w:rsid w:val="00E2273B"/>
    <w:rsid w:val="00E565E2"/>
    <w:rsid w:val="00E90013"/>
    <w:rsid w:val="00EB29C9"/>
    <w:rsid w:val="00ED256B"/>
    <w:rsid w:val="00F03691"/>
    <w:rsid w:val="00F46E69"/>
    <w:rsid w:val="00F75A7F"/>
    <w:rsid w:val="00F8573E"/>
    <w:rsid w:val="00FA4583"/>
    <w:rsid w:val="00FE2832"/>
    <w:rsid w:val="00FF5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F76CF"/>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6CF"/>
    <w:rPr>
      <w:rFonts w:ascii="Tahoma" w:hAnsi="Tahoma" w:cs="Tahoma"/>
      <w:sz w:val="16"/>
      <w:szCs w:val="16"/>
    </w:rPr>
  </w:style>
  <w:style w:type="paragraph" w:styleId="Voetnoottekst">
    <w:name w:val="footnote text"/>
    <w:basedOn w:val="Standaard"/>
    <w:link w:val="VoetnoottekstChar"/>
    <w:uiPriority w:val="99"/>
    <w:semiHidden/>
    <w:unhideWhenUsed/>
    <w:rsid w:val="0071172C"/>
    <w:rPr>
      <w:sz w:val="20"/>
      <w:szCs w:val="20"/>
    </w:rPr>
  </w:style>
  <w:style w:type="character" w:customStyle="1" w:styleId="VoetnoottekstChar">
    <w:name w:val="Voetnoottekst Char"/>
    <w:basedOn w:val="Standaardalinea-lettertype"/>
    <w:link w:val="Voetnoottekst"/>
    <w:uiPriority w:val="99"/>
    <w:semiHidden/>
    <w:rsid w:val="0071172C"/>
    <w:rPr>
      <w:sz w:val="20"/>
      <w:szCs w:val="20"/>
    </w:rPr>
  </w:style>
  <w:style w:type="character" w:styleId="Voetnootmarkering">
    <w:name w:val="footnote reference"/>
    <w:basedOn w:val="Standaardalinea-lettertype"/>
    <w:uiPriority w:val="99"/>
    <w:semiHidden/>
    <w:unhideWhenUsed/>
    <w:rsid w:val="0071172C"/>
    <w:rPr>
      <w:vertAlign w:val="superscript"/>
    </w:rPr>
  </w:style>
  <w:style w:type="paragraph" w:styleId="Koptekst">
    <w:name w:val="header"/>
    <w:basedOn w:val="Standaard"/>
    <w:link w:val="KoptekstChar"/>
    <w:uiPriority w:val="99"/>
    <w:unhideWhenUsed/>
    <w:rsid w:val="0071172C"/>
    <w:pPr>
      <w:tabs>
        <w:tab w:val="center" w:pos="4536"/>
        <w:tab w:val="right" w:pos="9072"/>
      </w:tabs>
    </w:pPr>
  </w:style>
  <w:style w:type="character" w:customStyle="1" w:styleId="KoptekstChar">
    <w:name w:val="Koptekst Char"/>
    <w:basedOn w:val="Standaardalinea-lettertype"/>
    <w:link w:val="Koptekst"/>
    <w:uiPriority w:val="99"/>
    <w:rsid w:val="0071172C"/>
  </w:style>
  <w:style w:type="paragraph" w:styleId="Voettekst">
    <w:name w:val="footer"/>
    <w:basedOn w:val="Standaard"/>
    <w:link w:val="VoettekstChar"/>
    <w:uiPriority w:val="99"/>
    <w:unhideWhenUsed/>
    <w:rsid w:val="0071172C"/>
    <w:pPr>
      <w:tabs>
        <w:tab w:val="center" w:pos="4536"/>
        <w:tab w:val="right" w:pos="9072"/>
      </w:tabs>
    </w:pPr>
  </w:style>
  <w:style w:type="character" w:customStyle="1" w:styleId="VoettekstChar">
    <w:name w:val="Voettekst Char"/>
    <w:basedOn w:val="Standaardalinea-lettertype"/>
    <w:link w:val="Voettekst"/>
    <w:uiPriority w:val="99"/>
    <w:rsid w:val="0071172C"/>
  </w:style>
  <w:style w:type="paragraph" w:styleId="Normaalweb">
    <w:name w:val="Normal (Web)"/>
    <w:basedOn w:val="Standaard"/>
    <w:uiPriority w:val="99"/>
    <w:semiHidden/>
    <w:unhideWhenUsed/>
    <w:rsid w:val="00B167F8"/>
    <w:pPr>
      <w:spacing w:before="100" w:beforeAutospacing="1" w:after="100" w:afterAutospacing="1"/>
    </w:pPr>
    <w:rPr>
      <w:rFonts w:cs="Times New Roman"/>
      <w:szCs w:val="24"/>
      <w:lang w:eastAsia="nl-BE"/>
    </w:rPr>
  </w:style>
  <w:style w:type="paragraph" w:styleId="Bijschrift">
    <w:name w:val="caption"/>
    <w:basedOn w:val="Standaard"/>
    <w:next w:val="Standaard"/>
    <w:uiPriority w:val="35"/>
    <w:unhideWhenUsed/>
    <w:qFormat/>
    <w:rsid w:val="00592EA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F76CF"/>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6CF"/>
    <w:rPr>
      <w:rFonts w:ascii="Tahoma" w:hAnsi="Tahoma" w:cs="Tahoma"/>
      <w:sz w:val="16"/>
      <w:szCs w:val="16"/>
    </w:rPr>
  </w:style>
  <w:style w:type="paragraph" w:styleId="Voetnoottekst">
    <w:name w:val="footnote text"/>
    <w:basedOn w:val="Standaard"/>
    <w:link w:val="VoetnoottekstChar"/>
    <w:uiPriority w:val="99"/>
    <w:semiHidden/>
    <w:unhideWhenUsed/>
    <w:rsid w:val="0071172C"/>
    <w:rPr>
      <w:sz w:val="20"/>
      <w:szCs w:val="20"/>
    </w:rPr>
  </w:style>
  <w:style w:type="character" w:customStyle="1" w:styleId="VoetnoottekstChar">
    <w:name w:val="Voetnoottekst Char"/>
    <w:basedOn w:val="Standaardalinea-lettertype"/>
    <w:link w:val="Voetnoottekst"/>
    <w:uiPriority w:val="99"/>
    <w:semiHidden/>
    <w:rsid w:val="0071172C"/>
    <w:rPr>
      <w:sz w:val="20"/>
      <w:szCs w:val="20"/>
    </w:rPr>
  </w:style>
  <w:style w:type="character" w:styleId="Voetnootmarkering">
    <w:name w:val="footnote reference"/>
    <w:basedOn w:val="Standaardalinea-lettertype"/>
    <w:uiPriority w:val="99"/>
    <w:semiHidden/>
    <w:unhideWhenUsed/>
    <w:rsid w:val="0071172C"/>
    <w:rPr>
      <w:vertAlign w:val="superscript"/>
    </w:rPr>
  </w:style>
  <w:style w:type="paragraph" w:styleId="Koptekst">
    <w:name w:val="header"/>
    <w:basedOn w:val="Standaard"/>
    <w:link w:val="KoptekstChar"/>
    <w:uiPriority w:val="99"/>
    <w:unhideWhenUsed/>
    <w:rsid w:val="0071172C"/>
    <w:pPr>
      <w:tabs>
        <w:tab w:val="center" w:pos="4536"/>
        <w:tab w:val="right" w:pos="9072"/>
      </w:tabs>
    </w:pPr>
  </w:style>
  <w:style w:type="character" w:customStyle="1" w:styleId="KoptekstChar">
    <w:name w:val="Koptekst Char"/>
    <w:basedOn w:val="Standaardalinea-lettertype"/>
    <w:link w:val="Koptekst"/>
    <w:uiPriority w:val="99"/>
    <w:rsid w:val="0071172C"/>
  </w:style>
  <w:style w:type="paragraph" w:styleId="Voettekst">
    <w:name w:val="footer"/>
    <w:basedOn w:val="Standaard"/>
    <w:link w:val="VoettekstChar"/>
    <w:uiPriority w:val="99"/>
    <w:unhideWhenUsed/>
    <w:rsid w:val="0071172C"/>
    <w:pPr>
      <w:tabs>
        <w:tab w:val="center" w:pos="4536"/>
        <w:tab w:val="right" w:pos="9072"/>
      </w:tabs>
    </w:pPr>
  </w:style>
  <w:style w:type="character" w:customStyle="1" w:styleId="VoettekstChar">
    <w:name w:val="Voettekst Char"/>
    <w:basedOn w:val="Standaardalinea-lettertype"/>
    <w:link w:val="Voettekst"/>
    <w:uiPriority w:val="99"/>
    <w:rsid w:val="0071172C"/>
  </w:style>
  <w:style w:type="paragraph" w:styleId="Normaalweb">
    <w:name w:val="Normal (Web)"/>
    <w:basedOn w:val="Standaard"/>
    <w:uiPriority w:val="99"/>
    <w:semiHidden/>
    <w:unhideWhenUsed/>
    <w:rsid w:val="00B167F8"/>
    <w:pPr>
      <w:spacing w:before="100" w:beforeAutospacing="1" w:after="100" w:afterAutospacing="1"/>
    </w:pPr>
    <w:rPr>
      <w:rFonts w:cs="Times New Roman"/>
      <w:szCs w:val="24"/>
      <w:lang w:eastAsia="nl-BE"/>
    </w:rPr>
  </w:style>
  <w:style w:type="paragraph" w:styleId="Bijschrift">
    <w:name w:val="caption"/>
    <w:basedOn w:val="Standaard"/>
    <w:next w:val="Standaard"/>
    <w:uiPriority w:val="35"/>
    <w:unhideWhenUsed/>
    <w:qFormat/>
    <w:rsid w:val="00592EA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roepgent\data\Dienst%20Economie\Visieontwikkeling\Kantoren\jaarverslag\2017\20170112_LIJ_tabellen_grafieken_opmaak_kantorenmarkt_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nheeal\AppData\Local\Microsoft\Windows\Temporary%20Internet%20Files\Content.Outlook\DW8ALZUZ\20170112_LIJ_tabellen_grafieken_opmaak_kantorenmarkt_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nheeal\AppData\Local\Microsoft\Windows\Temporary%20Internet%20Files\Content.Outlook\DW8ALZUZ\20170112_LIJ_tabellen_grafieken_opmaak_kantorenmarkt_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roepgent\data\Dienst%20Economie\Visieontwikkeling\Kantoren\jaarverslag\2017\20170112_LIJ_tabellen_grafieken_opmaak_kantorenmarkt_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c:spPr>
          <c:invertIfNegative val="0"/>
          <c:cat>
            <c:numRef>
              <c:f>algemeen!$A$18:$L$18</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algemeen!$A$19:$L$19</c:f>
              <c:numCache>
                <c:formatCode>General</c:formatCode>
                <c:ptCount val="12"/>
                <c:pt idx="0">
                  <c:v>1.24</c:v>
                </c:pt>
                <c:pt idx="1">
                  <c:v>1.28</c:v>
                </c:pt>
                <c:pt idx="2">
                  <c:v>1.32</c:v>
                </c:pt>
                <c:pt idx="3">
                  <c:v>1.32</c:v>
                </c:pt>
                <c:pt idx="4">
                  <c:v>1.34</c:v>
                </c:pt>
                <c:pt idx="5">
                  <c:v>1.36</c:v>
                </c:pt>
                <c:pt idx="6">
                  <c:v>1.3800000000000001</c:v>
                </c:pt>
                <c:pt idx="7">
                  <c:v>1.4049999999999983</c:v>
                </c:pt>
                <c:pt idx="8" formatCode="#,##0.000">
                  <c:v>1.4448539999999999</c:v>
                </c:pt>
                <c:pt idx="9" formatCode="0.000">
                  <c:v>1.4698539999999998</c:v>
                </c:pt>
                <c:pt idx="10" formatCode="0.000">
                  <c:v>1.4848539999999999</c:v>
                </c:pt>
                <c:pt idx="11">
                  <c:v>1.51</c:v>
                </c:pt>
              </c:numCache>
            </c:numRef>
          </c:val>
        </c:ser>
        <c:dLbls>
          <c:showLegendKey val="0"/>
          <c:showVal val="0"/>
          <c:showCatName val="0"/>
          <c:showSerName val="0"/>
          <c:showPercent val="0"/>
          <c:showBubbleSize val="0"/>
        </c:dLbls>
        <c:gapWidth val="150"/>
        <c:axId val="122457472"/>
        <c:axId val="122483840"/>
      </c:barChart>
      <c:catAx>
        <c:axId val="122457472"/>
        <c:scaling>
          <c:orientation val="minMax"/>
        </c:scaling>
        <c:delete val="0"/>
        <c:axPos val="b"/>
        <c:numFmt formatCode="General" sourceLinked="1"/>
        <c:majorTickMark val="out"/>
        <c:minorTickMark val="none"/>
        <c:tickLblPos val="nextTo"/>
        <c:txPr>
          <a:bodyPr rot="0" vert="horz"/>
          <a:lstStyle/>
          <a:p>
            <a:pPr>
              <a:defRPr sz="900" baseline="0"/>
            </a:pPr>
            <a:endParaRPr lang="nl-BE"/>
          </a:p>
        </c:txPr>
        <c:crossAx val="122483840"/>
        <c:crosses val="autoZero"/>
        <c:auto val="1"/>
        <c:lblAlgn val="ctr"/>
        <c:lblOffset val="100"/>
        <c:noMultiLvlLbl val="0"/>
      </c:catAx>
      <c:valAx>
        <c:axId val="122483840"/>
        <c:scaling>
          <c:orientation val="minMax"/>
        </c:scaling>
        <c:delete val="0"/>
        <c:axPos val="l"/>
        <c:majorGridlines/>
        <c:numFmt formatCode="General" sourceLinked="1"/>
        <c:majorTickMark val="out"/>
        <c:minorTickMark val="none"/>
        <c:tickLblPos val="nextTo"/>
        <c:txPr>
          <a:bodyPr/>
          <a:lstStyle/>
          <a:p>
            <a:pPr>
              <a:defRPr sz="900" baseline="0"/>
            </a:pPr>
            <a:endParaRPr lang="nl-BE"/>
          </a:p>
        </c:txPr>
        <c:crossAx val="122457472"/>
        <c:crosses val="autoZero"/>
        <c:crossBetween val="between"/>
      </c:valAx>
      <c:spPr>
        <a:solidFill>
          <a:schemeClr val="bg1">
            <a:lumMod val="85000"/>
          </a:schemeClr>
        </a:solid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rgbClr val="000000"/>
                </a:solidFill>
                <a:latin typeface="Arial"/>
                <a:ea typeface="Arial"/>
                <a:cs typeface="Arial"/>
              </a:defRPr>
            </a:pPr>
            <a:r>
              <a:rPr lang="en-US" sz="1100" b="0"/>
              <a:t>Opname in </a:t>
            </a:r>
            <a:r>
              <a:rPr lang="en-US" sz="1100" b="0" i="0" baseline="0">
                <a:effectLst/>
              </a:rPr>
              <a:t>m²</a:t>
            </a:r>
            <a:endParaRPr lang="nl-BE" sz="11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rgbClr val="000000"/>
                </a:solidFill>
                <a:latin typeface="Arial"/>
                <a:ea typeface="Arial"/>
                <a:cs typeface="Arial"/>
              </a:defRPr>
            </a:pPr>
            <a:endParaRPr lang="en-US"/>
          </a:p>
        </c:rich>
      </c:tx>
      <c:overlay val="0"/>
    </c:title>
    <c:autoTitleDeleted val="0"/>
    <c:plotArea>
      <c:layout/>
      <c:barChart>
        <c:barDir val="col"/>
        <c:grouping val="clustered"/>
        <c:varyColors val="0"/>
        <c:ser>
          <c:idx val="0"/>
          <c:order val="0"/>
          <c:spPr>
            <a:solidFill>
              <a:srgbClr val="00B0F0"/>
            </a:solidFill>
          </c:spPr>
          <c:invertIfNegative val="0"/>
          <c:cat>
            <c:numRef>
              <c:f>'[20170112_LIJ_tabellen_grafieken_opmaak_kantorenmarkt_2016.xlsx]algemeen'!$A$44:$A$55</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'[20170112_LIJ_tabellen_grafieken_opmaak_kantorenmarkt_2016.xlsx]algemeen'!$B$44:$B$55</c:f>
              <c:numCache>
                <c:formatCode>General</c:formatCode>
                <c:ptCount val="12"/>
                <c:pt idx="0">
                  <c:v>27506</c:v>
                </c:pt>
                <c:pt idx="1">
                  <c:v>41900</c:v>
                </c:pt>
                <c:pt idx="2">
                  <c:v>90400</c:v>
                </c:pt>
                <c:pt idx="3">
                  <c:v>35700</c:v>
                </c:pt>
                <c:pt idx="4">
                  <c:v>68000</c:v>
                </c:pt>
                <c:pt idx="5">
                  <c:v>70000</c:v>
                </c:pt>
                <c:pt idx="6">
                  <c:v>60000</c:v>
                </c:pt>
                <c:pt idx="7">
                  <c:v>52600</c:v>
                </c:pt>
                <c:pt idx="8" formatCode="0">
                  <c:v>65037</c:v>
                </c:pt>
                <c:pt idx="9">
                  <c:v>72539</c:v>
                </c:pt>
                <c:pt idx="10">
                  <c:v>52886</c:v>
                </c:pt>
                <c:pt idx="11">
                  <c:v>54350</c:v>
                </c:pt>
              </c:numCache>
            </c:numRef>
          </c:val>
        </c:ser>
        <c:dLbls>
          <c:showLegendKey val="0"/>
          <c:showVal val="0"/>
          <c:showCatName val="0"/>
          <c:showSerName val="0"/>
          <c:showPercent val="0"/>
          <c:showBubbleSize val="0"/>
        </c:dLbls>
        <c:gapWidth val="150"/>
        <c:axId val="132526464"/>
        <c:axId val="132528000"/>
      </c:barChart>
      <c:catAx>
        <c:axId val="132526464"/>
        <c:scaling>
          <c:orientation val="minMax"/>
        </c:scaling>
        <c:delete val="0"/>
        <c:axPos val="b"/>
        <c:numFmt formatCode="General" sourceLinked="1"/>
        <c:majorTickMark val="none"/>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nl-BE"/>
          </a:p>
        </c:txPr>
        <c:crossAx val="132528000"/>
        <c:crosses val="autoZero"/>
        <c:auto val="1"/>
        <c:lblAlgn val="ctr"/>
        <c:lblOffset val="100"/>
        <c:tickLblSkip val="1"/>
        <c:tickMarkSkip val="1"/>
        <c:noMultiLvlLbl val="0"/>
      </c:catAx>
      <c:valAx>
        <c:axId val="132528000"/>
        <c:scaling>
          <c:orientation val="minMax"/>
        </c:scaling>
        <c:delete val="0"/>
        <c:axPos val="l"/>
        <c:majorGridlines>
          <c:spPr>
            <a:ln w="3175">
              <a:solidFill>
                <a:srgbClr val="000000"/>
              </a:solidFill>
              <a:prstDash val="solid"/>
            </a:ln>
          </c:spPr>
        </c:majorGridlines>
        <c:numFmt formatCode="General" sourceLinked="1"/>
        <c:majorTickMark val="none"/>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nl-BE"/>
          </a:p>
        </c:txPr>
        <c:crossAx val="132526464"/>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nl-B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spPr>
            <a:solidFill>
              <a:srgbClr val="00B0F0"/>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invertIfNegative val="0"/>
          <c:cat>
            <c:numRef>
              <c:f>'[20170112_LIJ_tabellen_grafieken_opmaak_kantorenmarkt_2016.xlsx]algemeen'!$A$3:$A$14</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'[20170112_LIJ_tabellen_grafieken_opmaak_kantorenmarkt_2016.xlsx]algemeen'!$B$3:$B$14</c:f>
              <c:numCache>
                <c:formatCode>General</c:formatCode>
                <c:ptCount val="12"/>
                <c:pt idx="0">
                  <c:v>128562</c:v>
                </c:pt>
                <c:pt idx="1">
                  <c:v>104016</c:v>
                </c:pt>
                <c:pt idx="2">
                  <c:v>68570</c:v>
                </c:pt>
                <c:pt idx="3">
                  <c:v>61386</c:v>
                </c:pt>
                <c:pt idx="4">
                  <c:v>57600</c:v>
                </c:pt>
                <c:pt idx="5">
                  <c:v>60100</c:v>
                </c:pt>
                <c:pt idx="6">
                  <c:v>61700</c:v>
                </c:pt>
                <c:pt idx="7">
                  <c:v>68751</c:v>
                </c:pt>
                <c:pt idx="8" formatCode="0">
                  <c:v>68956.650000000009</c:v>
                </c:pt>
                <c:pt idx="9">
                  <c:v>81210</c:v>
                </c:pt>
                <c:pt idx="10">
                  <c:v>88470</c:v>
                </c:pt>
                <c:pt idx="11">
                  <c:v>83975</c:v>
                </c:pt>
              </c:numCache>
            </c:numRef>
          </c:val>
        </c:ser>
        <c:dLbls>
          <c:showLegendKey val="0"/>
          <c:showVal val="0"/>
          <c:showCatName val="0"/>
          <c:showSerName val="0"/>
          <c:showPercent val="0"/>
          <c:showBubbleSize val="0"/>
        </c:dLbls>
        <c:gapWidth val="150"/>
        <c:axId val="132544384"/>
        <c:axId val="132545920"/>
      </c:barChart>
      <c:catAx>
        <c:axId val="132544384"/>
        <c:scaling>
          <c:orientation val="minMax"/>
        </c:scaling>
        <c:delete val="0"/>
        <c:axPos val="b"/>
        <c:numFmt formatCode="General" sourceLinked="1"/>
        <c:majorTickMark val="out"/>
        <c:minorTickMark val="none"/>
        <c:tickLblPos val="nextTo"/>
        <c:txPr>
          <a:bodyPr/>
          <a:lstStyle/>
          <a:p>
            <a:pPr>
              <a:defRPr sz="900"/>
            </a:pPr>
            <a:endParaRPr lang="nl-BE"/>
          </a:p>
        </c:txPr>
        <c:crossAx val="132545920"/>
        <c:crosses val="autoZero"/>
        <c:auto val="1"/>
        <c:lblAlgn val="ctr"/>
        <c:lblOffset val="100"/>
        <c:noMultiLvlLbl val="0"/>
      </c:catAx>
      <c:valAx>
        <c:axId val="132545920"/>
        <c:scaling>
          <c:orientation val="minMax"/>
        </c:scaling>
        <c:delete val="0"/>
        <c:axPos val="l"/>
        <c:majorGridlines/>
        <c:numFmt formatCode="General" sourceLinked="1"/>
        <c:majorTickMark val="out"/>
        <c:minorTickMark val="none"/>
        <c:tickLblPos val="nextTo"/>
        <c:txPr>
          <a:bodyPr/>
          <a:lstStyle/>
          <a:p>
            <a:pPr>
              <a:defRPr sz="900"/>
            </a:pPr>
            <a:endParaRPr lang="nl-BE"/>
          </a:p>
        </c:txPr>
        <c:crossAx val="132544384"/>
        <c:crosses val="autoZero"/>
        <c:crossBetween val="between"/>
      </c:valAx>
      <c:spPr>
        <a:solidFill>
          <a:schemeClr val="bg1">
            <a:lumMod val="85000"/>
          </a:schemeClr>
        </a:solid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33352593347322"/>
          <c:y val="0.12059494844761115"/>
          <c:w val="0.85833473036251684"/>
          <c:h val="0.65471534115601915"/>
        </c:manualLayout>
      </c:layout>
      <c:lineChart>
        <c:grouping val="standard"/>
        <c:varyColors val="0"/>
        <c:ser>
          <c:idx val="0"/>
          <c:order val="0"/>
          <c:marker>
            <c:symbol val="none"/>
          </c:marker>
          <c:cat>
            <c:numRef>
              <c:f>algemeen!$G$59:$R$59</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algemeen!$G$60:$R$60</c:f>
              <c:numCache>
                <c:formatCode>General</c:formatCode>
                <c:ptCount val="12"/>
                <c:pt idx="0">
                  <c:v>101.99304987735077</c:v>
                </c:pt>
                <c:pt idx="1">
                  <c:v>113.17533067985349</c:v>
                </c:pt>
                <c:pt idx="2">
                  <c:v>116.53111860887628</c:v>
                </c:pt>
                <c:pt idx="3">
                  <c:v>107.42</c:v>
                </c:pt>
                <c:pt idx="4">
                  <c:v>109.5</c:v>
                </c:pt>
                <c:pt idx="5">
                  <c:v>110.2</c:v>
                </c:pt>
                <c:pt idx="6">
                  <c:v>106</c:v>
                </c:pt>
                <c:pt idx="7">
                  <c:v>116</c:v>
                </c:pt>
                <c:pt idx="8" formatCode="0.0">
                  <c:v>125.64006927800379</c:v>
                </c:pt>
                <c:pt idx="9">
                  <c:v>117.7</c:v>
                </c:pt>
                <c:pt idx="10">
                  <c:v>116.64999999999999</c:v>
                </c:pt>
                <c:pt idx="11">
                  <c:v>120.48</c:v>
                </c:pt>
              </c:numCache>
            </c:numRef>
          </c:val>
          <c:smooth val="0"/>
        </c:ser>
        <c:dLbls>
          <c:showLegendKey val="0"/>
          <c:showVal val="0"/>
          <c:showCatName val="0"/>
          <c:showSerName val="0"/>
          <c:showPercent val="0"/>
          <c:showBubbleSize val="0"/>
        </c:dLbls>
        <c:marker val="1"/>
        <c:smooth val="0"/>
        <c:axId val="132569728"/>
        <c:axId val="133693824"/>
      </c:lineChart>
      <c:catAx>
        <c:axId val="132569728"/>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a:pPr>
            <a:endParaRPr lang="nl-BE"/>
          </a:p>
        </c:txPr>
        <c:crossAx val="133693824"/>
        <c:crosses val="autoZero"/>
        <c:auto val="1"/>
        <c:lblAlgn val="ctr"/>
        <c:lblOffset val="100"/>
        <c:tickLblSkip val="1"/>
        <c:tickMarkSkip val="1"/>
        <c:noMultiLvlLbl val="0"/>
      </c:catAx>
      <c:valAx>
        <c:axId val="133693824"/>
        <c:scaling>
          <c:orientation val="minMax"/>
          <c:max val="130"/>
          <c:min val="9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nl-BE"/>
          </a:p>
        </c:txPr>
        <c:crossAx val="132569728"/>
        <c:crosses val="autoZero"/>
        <c:crossBetween val="between"/>
        <c:majorUnit val="10"/>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nl-BE"/>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049BD-0BBC-45FC-8451-A517863A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 Xavier</dc:creator>
  <cp:lastModifiedBy>Goesseye Sam</cp:lastModifiedBy>
  <cp:revision>1</cp:revision>
  <cp:lastPrinted>2017-01-31T15:05:00Z</cp:lastPrinted>
  <dcterms:created xsi:type="dcterms:W3CDTF">2017-02-01T08:34:00Z</dcterms:created>
  <dcterms:modified xsi:type="dcterms:W3CDTF">2017-02-01T08:34:00Z</dcterms:modified>
</cp:coreProperties>
</file>